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Default="00941AE2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BA3D0" wp14:editId="64580C12">
                <wp:simplePos x="0" y="0"/>
                <wp:positionH relativeFrom="column">
                  <wp:posOffset>4577080</wp:posOffset>
                </wp:positionH>
                <wp:positionV relativeFrom="paragraph">
                  <wp:posOffset>-340995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3E" w:rsidRPr="00286DBA" w:rsidRDefault="008D073E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8D073E" w:rsidRDefault="008D073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4pt;margin-top:-26.85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    <v:textbox>
                  <w:txbxContent>
                    <w:p w:rsidR="00214749" w:rsidRPr="00286DBA" w:rsidRDefault="00214749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214749" w:rsidRDefault="00214749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2B3954" w:rsidRDefault="002B3954" w:rsidP="00262E1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BF3B31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3B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CITE: </w:t>
      </w:r>
      <w:r w:rsidR="00340146" w:rsidRPr="00BF3B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N° </w:t>
      </w:r>
      <w:r w:rsidR="00262E16" w:rsidRPr="00BF3B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INF. CC. EPNE-78/2015</w:t>
      </w:r>
    </w:p>
    <w:p w:rsidR="00487EF9" w:rsidRPr="00BF3B31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336ED6" w:rsidRPr="006B2036" w:rsidRDefault="00FA7C77" w:rsidP="002431ED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OBJETO:</w:t>
      </w:r>
      <w:r w:rsidR="00F01395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34014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“</w:t>
      </w:r>
      <w:r w:rsidR="00262E1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ALQUILER DE AMBIENTES PARA LA SOCIALIZACION INSTALACIONES DE GAS DOMICILIARIO EN EL TROPICO DE COCHABAMBA</w:t>
      </w:r>
      <w:r w:rsidR="009A58C0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”</w:t>
      </w:r>
    </w:p>
    <w:p w:rsidR="002431ED" w:rsidRPr="006B2036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BO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  <w:lang w:val="es-BO"/>
        </w:rPr>
        <w:t xml:space="preserve">CÓDIGO: </w:t>
      </w:r>
      <w:r w:rsidR="00262E1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  <w:lang w:val="es-BO"/>
        </w:rPr>
        <w:t>EPNE-DRGCB-078-2015</w:t>
      </w:r>
    </w:p>
    <w:p w:rsidR="00B50041" w:rsidRPr="006B2036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F954BF" w:rsidRPr="006B2036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</w:t>
      </w:r>
      <w:r w:rsidR="00AC006E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262E1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Ing.  Eddy </w:t>
      </w:r>
      <w:proofErr w:type="spellStart"/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Revollo</w:t>
      </w:r>
      <w:proofErr w:type="spellEnd"/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Panozo</w:t>
      </w:r>
      <w:proofErr w:type="spellEnd"/>
    </w:p>
    <w:p w:rsidR="00AC006E" w:rsidRPr="006B2036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</w:t>
      </w:r>
      <w:r w:rsidR="007E3698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ESPONSABLE </w:t>
      </w:r>
      <w:r w:rsidR="00273B2B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DEL </w:t>
      </w:r>
      <w:r w:rsidR="007E3698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PROCESO DE CONTRATACION </w:t>
      </w:r>
      <w:r w:rsidR="00BB1BD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(</w:t>
      </w: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R.P.</w:t>
      </w:r>
      <w:r w:rsidR="006B79F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</w:t>
      </w: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BB1BD6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)</w:t>
      </w:r>
    </w:p>
    <w:p w:rsidR="00AC006E" w:rsidRPr="006B2036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5220A" w:rsidRPr="006B2036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</w:t>
      </w:r>
      <w:r w:rsidR="00AC006E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:</w:t>
      </w:r>
      <w:r w:rsidR="00AC006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5152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COMITÉ DE CONTRATACIÓN</w:t>
      </w:r>
    </w:p>
    <w:p w:rsidR="00985EFE" w:rsidRPr="006B2036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:rsidR="00F01395" w:rsidRPr="006B2036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BO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REF</w:t>
      </w:r>
      <w:r w:rsidR="002934E1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="00BF4EBA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</w:t>
      </w:r>
      <w:r w:rsidR="002934E1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2934E1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CD4827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INFORME DE</w:t>
      </w:r>
      <w:r w:rsidR="009146F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85EFE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EVALUACION </w:t>
      </w:r>
      <w:r w:rsidR="00C05739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Y RECOMENDACIÓN</w:t>
      </w:r>
      <w:r w:rsidR="009146F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:rsidR="000378DA" w:rsidRPr="006B2036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:rsidR="000355D3" w:rsidRPr="006B2036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</w:t>
      </w:r>
      <w:r w:rsidR="000355D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ECHA</w:t>
      </w:r>
      <w:r w:rsidR="00342F4C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AC006E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C006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Cochabamba, 14 de octubre 2015</w:t>
      </w:r>
    </w:p>
    <w:p w:rsidR="00AC006E" w:rsidRPr="006B2036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55D3" w:rsidRPr="006B2036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55D3" w:rsidRPr="006B2036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Señor</w:t>
      </w:r>
      <w:r w:rsidR="00CB67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43CA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Responsable de Contratación Directa</w:t>
      </w:r>
      <w:r w:rsidR="002E68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(RPC)</w:t>
      </w:r>
      <w:r w:rsidR="0025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AC006E" w:rsidRPr="006B2036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1120" w:rsidRPr="006B2036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conformidad a las disposiciones y procedimientos establecidos en </w:t>
      </w:r>
      <w:r w:rsidR="001E18C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Reglamento </w:t>
      </w:r>
      <w:r w:rsidR="002934E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Específico</w:t>
      </w:r>
      <w:r w:rsidR="001E18C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del Sistema de Administración de Bienes y Servicio Empresa Pública </w:t>
      </w:r>
      <w:r w:rsidR="00BE7C1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1E18C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acional Estratégica RE-SABS-EPNE 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CD482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YPFB </w:t>
      </w:r>
      <w:r w:rsidR="001E18C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aprobado mediante Resolución de Directorio No. 0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58</w:t>
      </w:r>
      <w:r w:rsidR="001E18C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/201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0E3E0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22 de julio de 2013</w:t>
      </w:r>
      <w:r w:rsidR="00BE7C1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así como el Documento de Contratación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Directa</w:t>
      </w:r>
      <w:r w:rsidR="000E3E0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(DCD)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D17D2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56E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elevamos a conocimiento y consideración de su autoridad, el </w:t>
      </w:r>
      <w:r w:rsidR="003226D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presente </w:t>
      </w:r>
      <w:r w:rsidR="00F1265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Informe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C51523" w:rsidRPr="006B2036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C4233F" w:rsidRPr="006B2036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ANTECEDENTES</w:t>
      </w:r>
      <w:r w:rsidR="00C4233F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326A22" w:rsidRPr="006B2036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E13A2" w:rsidRPr="006B2036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Unidad de Operaciones y Mantenimiento</w:t>
      </w:r>
      <w:r w:rsidR="00326A2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664C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mediante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carta</w:t>
      </w:r>
      <w:r w:rsidR="000A1FF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B0B0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Cite: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UDOM.CBBA.CART.2293.2015</w:t>
      </w:r>
      <w:r w:rsidR="001339B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A58C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DF64DA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fecha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02 de octubre 2015</w:t>
      </w:r>
      <w:r w:rsidR="00326A2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EA329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solicita </w:t>
      </w:r>
      <w:r w:rsidR="004814D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al</w:t>
      </w:r>
      <w:r w:rsidR="001F55A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</w:t>
      </w:r>
      <w:r w:rsidR="004814D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esponsable del </w:t>
      </w:r>
      <w:r w:rsidR="001F55A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="004814D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roceso de Contratación (RPC)</w:t>
      </w:r>
      <w:r w:rsidR="000A1FF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contratación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ALQUILER DE AMBIENTES PARA LA SOCIALIZACION INSTALACIONES DE GAS DOMICILIARIO EN EL TROPICO DE COCHABAMBA </w:t>
      </w:r>
      <w:r w:rsidR="006D6B0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adjuntando</w:t>
      </w:r>
      <w:r w:rsidR="000E13A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siguiente</w:t>
      </w:r>
      <w:r w:rsidR="009F4CD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document</w:t>
      </w:r>
      <w:r w:rsidR="008D1D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ación: </w:t>
      </w:r>
    </w:p>
    <w:p w:rsidR="00DE6981" w:rsidRPr="006B2036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F0051" w:rsidRPr="006B2036" w:rsidRDefault="002934E1" w:rsidP="004F0051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Formulario CD-002 Especificaciones Técnicas</w:t>
      </w:r>
    </w:p>
    <w:p w:rsidR="002934E1" w:rsidRPr="006B2036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Formulario CD-003 Precio Referencial respaldado</w:t>
      </w:r>
    </w:p>
    <w:p w:rsidR="00A52B7B" w:rsidRPr="006B2036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Formulario CD-004 </w:t>
      </w:r>
      <w:r w:rsidR="002934E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Informe de Justificación N° </w:t>
      </w:r>
      <w:r w:rsidR="00CB67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RGCB CHPRE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-009/2015</w:t>
      </w:r>
    </w:p>
    <w:p w:rsidR="00A52B7B" w:rsidRPr="006B2036" w:rsidRDefault="009E064B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Certificación presupuestaria – Preventivo N°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1308</w:t>
      </w:r>
      <w:r w:rsidR="00A52B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22/06/2015</w:t>
      </w:r>
      <w:r w:rsidR="00A52B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por Bs.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5.000,00 (Cinco mil 00/100 </w:t>
      </w:r>
      <w:r w:rsidR="00CB67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Bolivianos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</w:t>
      </w:r>
      <w:r w:rsidR="00A52B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(con cargo a la partida presupuestaria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234</w:t>
      </w:r>
      <w:r w:rsidR="00A52B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62E1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Otros Alquileres</w:t>
      </w:r>
      <w:r w:rsidR="00A52B7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”.</w:t>
      </w:r>
    </w:p>
    <w:p w:rsidR="00A52B7B" w:rsidRPr="006B2036" w:rsidRDefault="00A52B7B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064B" w:rsidRPr="006B2036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DESARROLLO DEL PROCESO.-</w:t>
      </w:r>
    </w:p>
    <w:p w:rsidR="009E064B" w:rsidRPr="006B2036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6B2036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Documento de Contratación Directa</w:t>
      </w:r>
      <w:r w:rsidR="00D33CB9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(DCD)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.- </w:t>
      </w:r>
    </w:p>
    <w:p w:rsidR="00CB67E5" w:rsidRPr="006B2036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Una vez autorizada la contratación, el Documento de Contratación Directa fue elaborado por el Analista de Contrataciones de la GNCO y aprobado por el/la Responsable del </w:t>
      </w:r>
    </w:p>
    <w:p w:rsidR="00CB67E5" w:rsidRPr="006B2036" w:rsidRDefault="00CB67E5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210A8" w:rsidRPr="006B2036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Proceso de Contratación – RPC y registrado en el Sistema de Procesos de Contratación de YPFB.</w:t>
      </w:r>
    </w:p>
    <w:p w:rsidR="004210A8" w:rsidRPr="006B2036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6B2036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Invitaciones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D33CB9" w:rsidRPr="006B2036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Fueron cursadas invitaciones a </w:t>
      </w:r>
      <w:r w:rsidR="00CB67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los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proponentes recomendado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s en el informe de justificación em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itido por la Unidad Solicitante.</w:t>
      </w:r>
    </w:p>
    <w:p w:rsidR="005E79DB" w:rsidRPr="006B2036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6B2036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Precio Referencial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5E79DB" w:rsidRPr="006B2036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El precio Referencial establecido</w:t>
      </w:r>
      <w:r w:rsidR="00273B2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por la Unidad Solicitante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para la presente contratación es la siguiente:</w:t>
      </w:r>
    </w:p>
    <w:p w:rsidR="00273B2B" w:rsidRPr="006B2036" w:rsidRDefault="00273B2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8057" w:type="dxa"/>
        <w:jc w:val="right"/>
        <w:tblInd w:w="-1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074"/>
        <w:gridCol w:w="1025"/>
        <w:gridCol w:w="1562"/>
        <w:gridCol w:w="1548"/>
      </w:tblGrid>
      <w:tr w:rsidR="00152624" w:rsidRPr="006B2036" w:rsidTr="00152624">
        <w:trPr>
          <w:trHeight w:val="435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Nº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2624" w:rsidRPr="006B2036" w:rsidRDefault="00152624" w:rsidP="0015262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DETALLE DEL SERVICIO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CANTIDAD DIAS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PRECIO UNITARIO  REFERENCIAL</w:t>
            </w:r>
          </w:p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(Bs.)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PRECIO TOTAL REFERENCIAL</w:t>
            </w:r>
          </w:p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 xml:space="preserve"> </w:t>
            </w: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(Bs.)</w:t>
            </w:r>
          </w:p>
        </w:tc>
      </w:tr>
      <w:tr w:rsidR="00152624" w:rsidRPr="006B2036" w:rsidTr="00152624">
        <w:trPr>
          <w:trHeight w:hRule="exact" w:val="1074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24" w:rsidRPr="006B2036" w:rsidRDefault="00152624" w:rsidP="0021474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BO"/>
              </w:rPr>
              <w:t>ALQUILER DE AMBIENTES PARA LA SOCIALIZACION INSTALACIONES DE GAS DOMICILIARIO EN EL TROPICO DE COCHABAMBA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5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1.000,00</w:t>
            </w:r>
          </w:p>
        </w:tc>
        <w:tc>
          <w:tcPr>
            <w:tcW w:w="15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  <w:p w:rsidR="00152624" w:rsidRPr="006B2036" w:rsidRDefault="00152624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5.000,00.</w:t>
            </w:r>
          </w:p>
        </w:tc>
      </w:tr>
    </w:tbl>
    <w:p w:rsidR="00E851F1" w:rsidRPr="006B2036" w:rsidRDefault="00E851F1" w:rsidP="00E851F1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66684" w:rsidRPr="006B2036" w:rsidRDefault="005E79DB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5152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Comité de Contratación</w:t>
      </w:r>
      <w:r w:rsidR="005A55B3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585AFB" w:rsidRPr="006B2036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5A55B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ediante Memorándum 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CITE: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DRGCB-EPNE-078-2015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octubre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201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5A55B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1266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</w:t>
      </w:r>
      <w:r w:rsidR="009E064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Responsable del Proceso de Contratación</w:t>
      </w:r>
      <w:r w:rsidR="002B67B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designó</w:t>
      </w:r>
      <w:r w:rsidR="005A55B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24F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al siguiente personal</w:t>
      </w:r>
      <w:r w:rsidR="005A55B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como integrantes </w:t>
      </w:r>
      <w:r w:rsidR="00C5152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del Comité de Contratación</w:t>
      </w:r>
      <w:r w:rsidR="005A55B3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941AE2" w:rsidRPr="006B2036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A58C0" w:rsidRPr="006B2036" w:rsidRDefault="00152624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Ing.  Ismael Hugo Cruz Hernández</w:t>
      </w:r>
    </w:p>
    <w:p w:rsidR="00152624" w:rsidRPr="006B2036" w:rsidRDefault="00152624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Ing.  Constantino Quispe Ayala</w:t>
      </w:r>
    </w:p>
    <w:p w:rsidR="00152624" w:rsidRPr="006B2036" w:rsidRDefault="00152624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Cr.  Sandra </w:t>
      </w:r>
      <w:proofErr w:type="spellStart"/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Boado</w:t>
      </w:r>
      <w:proofErr w:type="spellEnd"/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Quiroga Rojas</w:t>
      </w:r>
    </w:p>
    <w:p w:rsidR="00180BDD" w:rsidRPr="006B2036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57C18" w:rsidRPr="006B2036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Inspección Previa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– </w:t>
      </w:r>
    </w:p>
    <w:p w:rsidR="00E57C18" w:rsidRPr="006B2036" w:rsidRDefault="00E57C18" w:rsidP="00E57C18">
      <w:pPr>
        <w:pStyle w:val="Prrafodelista"/>
        <w:ind w:left="720" w:firstLine="426"/>
        <w:jc w:val="both"/>
        <w:rPr>
          <w:rFonts w:asciiTheme="minorHAnsi" w:hAnsiTheme="minorHAnsi" w:cstheme="minorHAnsi"/>
          <w:sz w:val="20"/>
          <w:szCs w:val="20"/>
        </w:rPr>
      </w:pPr>
    </w:p>
    <w:p w:rsidR="00E57C18" w:rsidRPr="006B2036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E57C18" w:rsidRPr="006B2036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6B2036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Consultas Escritas.-</w:t>
      </w:r>
    </w:p>
    <w:p w:rsidR="0087055F" w:rsidRPr="006B2036" w:rsidRDefault="0087055F" w:rsidP="006F6282">
      <w:pPr>
        <w:ind w:left="708" w:firstLine="438"/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87055F" w:rsidRPr="006B2036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87055F" w:rsidRPr="006B2036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6B2036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Reunión de Aclaración.-</w:t>
      </w:r>
    </w:p>
    <w:p w:rsidR="00131E55" w:rsidRPr="006B2036" w:rsidRDefault="00131E55" w:rsidP="006F6282">
      <w:pPr>
        <w:ind w:left="438" w:firstLine="708"/>
        <w:jc w:val="both"/>
        <w:rPr>
          <w:rFonts w:asciiTheme="minorHAnsi" w:hAnsiTheme="minorHAnsi" w:cstheme="minorHAnsi"/>
          <w:sz w:val="20"/>
          <w:szCs w:val="20"/>
          <w:lang w:val="es-BO"/>
        </w:rPr>
      </w:pPr>
    </w:p>
    <w:p w:rsidR="00131E55" w:rsidRPr="006B2036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131E55" w:rsidRPr="006B2036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6B2036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Ajustes al Documento de Contratación Directa.-</w:t>
      </w:r>
    </w:p>
    <w:p w:rsidR="00131E55" w:rsidRPr="006B2036" w:rsidRDefault="00131E55" w:rsidP="006F6282">
      <w:pPr>
        <w:ind w:left="438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C438F5" w:rsidRPr="006B2036" w:rsidRDefault="00C438F5" w:rsidP="00C438F5">
      <w:pPr>
        <w:ind w:left="114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2036">
        <w:rPr>
          <w:rFonts w:asciiTheme="minorHAnsi" w:hAnsiTheme="minorHAnsi" w:cstheme="minorHAnsi"/>
          <w:b/>
          <w:sz w:val="20"/>
          <w:szCs w:val="20"/>
        </w:rPr>
        <w:t>EN CASO DE EXISTIR AJUSTES DESCRIBIR LO SIGUIENTE:</w:t>
      </w:r>
    </w:p>
    <w:p w:rsidR="00C438F5" w:rsidRPr="006B2036" w:rsidRDefault="00C438F5" w:rsidP="00C438F5">
      <w:pPr>
        <w:ind w:left="1146"/>
        <w:jc w:val="both"/>
        <w:rPr>
          <w:rFonts w:asciiTheme="minorHAnsi" w:hAnsiTheme="minorHAnsi" w:cstheme="minorHAnsi"/>
          <w:sz w:val="20"/>
          <w:szCs w:val="20"/>
        </w:rPr>
      </w:pPr>
    </w:p>
    <w:p w:rsidR="006F6282" w:rsidRPr="006B2036" w:rsidRDefault="006F6282" w:rsidP="006F6282">
      <w:pPr>
        <w:ind w:left="43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B2036">
        <w:rPr>
          <w:rFonts w:asciiTheme="minorHAnsi" w:hAnsiTheme="minorHAnsi" w:cstheme="minorHAnsi"/>
          <w:sz w:val="20"/>
          <w:szCs w:val="20"/>
        </w:rPr>
        <w:t>No se realizó ajustes al Documento de Contratación Directa.</w:t>
      </w:r>
    </w:p>
    <w:p w:rsidR="00152624" w:rsidRPr="006B2036" w:rsidRDefault="00152624" w:rsidP="006F6282">
      <w:pPr>
        <w:ind w:left="438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75180" w:rsidRPr="006B2036" w:rsidRDefault="00175180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A55B3" w:rsidRPr="006B2036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RECEPCIÓN Y APERTURA DE </w:t>
      </w:r>
      <w:r w:rsidR="00086A41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OFERTAS</w:t>
      </w:r>
      <w:r w:rsidR="005B1828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8C3F00" w:rsidRPr="006B2036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6F6282" w:rsidRPr="006B2036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Recepción de </w:t>
      </w:r>
      <w:r w:rsidR="00086A41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ofertas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AC110C" w:rsidRPr="006B2036" w:rsidRDefault="00AC110C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61717" w:rsidRPr="006B2036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conformidad a lo establecido en el </w:t>
      </w:r>
      <w:r w:rsidR="00BF632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ronograma 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plazos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del</w:t>
      </w:r>
      <w:r w:rsidR="00BF632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Documento de Contratación</w:t>
      </w:r>
      <w:r w:rsidR="00EB39A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Directa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BF632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hasta horas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10:00</w:t>
      </w:r>
      <w:r w:rsidR="00EB39A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 w:rsidR="00EB39A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r w:rsidR="009E064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día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14/10/2015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se </w:t>
      </w:r>
      <w:r w:rsidR="00EB39A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recibió</w:t>
      </w:r>
      <w:r w:rsidR="00B7363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2624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una</w:t>
      </w:r>
      <w:r w:rsidR="00BE170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B135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oferta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 sobre cerrado, 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registrada</w:t>
      </w:r>
      <w:r w:rsidR="00C7006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 el f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ormulario de </w:t>
      </w:r>
      <w:r w:rsidR="009E064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Control de 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Recepción de </w:t>
      </w:r>
      <w:r w:rsidR="009E064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Ofertas</w:t>
      </w:r>
      <w:r w:rsidR="0048068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607400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807B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acuerdo al </w:t>
      </w:r>
      <w:r w:rsidR="009E064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siguiente</w:t>
      </w:r>
      <w:r w:rsidR="006807B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detalle</w:t>
      </w:r>
      <w:r w:rsidR="0096307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821212" w:rsidRPr="006B2036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801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797"/>
        <w:gridCol w:w="1520"/>
        <w:gridCol w:w="1520"/>
        <w:gridCol w:w="1626"/>
      </w:tblGrid>
      <w:tr w:rsidR="00AB1355" w:rsidRPr="006B2036" w:rsidTr="00FE7DED">
        <w:trPr>
          <w:trHeight w:val="301"/>
          <w:jc w:val="right"/>
        </w:trPr>
        <w:tc>
          <w:tcPr>
            <w:tcW w:w="8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DETALLE DE RECEPCION </w:t>
            </w:r>
            <w:r w:rsidR="006807B2"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 OFERTAS</w:t>
            </w:r>
          </w:p>
        </w:tc>
      </w:tr>
      <w:tr w:rsidR="00AB1355" w:rsidRPr="006B2036" w:rsidTr="00FE7DED">
        <w:trPr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N°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</w:t>
            </w:r>
            <w:r w:rsidR="00AB1355"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DEL OFERENTE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FECHA DE RECEPCIÓN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HORA DE RECEPCIÓN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6B2036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AB1355" w:rsidRPr="006B2036" w:rsidTr="00FE7DED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1355" w:rsidRPr="006B2036" w:rsidRDefault="00152624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vAlign w:val="center"/>
          </w:tcPr>
          <w:p w:rsidR="00AB1355" w:rsidRPr="006B2036" w:rsidRDefault="00152624" w:rsidP="009A02E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ALEJANDRO MURUCHI TORIICO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6B2036" w:rsidRDefault="00152624" w:rsidP="00AB1355">
            <w:pPr>
              <w:ind w:hanging="6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14/10/2015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6B2036" w:rsidRDefault="00152624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09:05</w:t>
            </w:r>
          </w:p>
        </w:tc>
        <w:tc>
          <w:tcPr>
            <w:tcW w:w="1509" w:type="dxa"/>
            <w:tcBorders>
              <w:top w:val="single" w:sz="12" w:space="0" w:color="auto"/>
              <w:right w:val="single" w:sz="12" w:space="0" w:color="auto"/>
            </w:tcBorders>
          </w:tcPr>
          <w:p w:rsidR="00AB1355" w:rsidRPr="006B2036" w:rsidRDefault="00AB1355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152624" w:rsidRPr="006B2036" w:rsidRDefault="00152624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NINGUNA</w:t>
            </w:r>
          </w:p>
        </w:tc>
      </w:tr>
    </w:tbl>
    <w:p w:rsidR="002333A4" w:rsidRPr="006B2036" w:rsidRDefault="002333A4" w:rsidP="00EE04E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E04ED" w:rsidRPr="006B2036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Apertura de </w:t>
      </w:r>
      <w:r w:rsidR="00AC110C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Ofertas</w:t>
      </w: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AB4FDA" w:rsidRPr="006B2036" w:rsidRDefault="00AB4FDA" w:rsidP="006F6282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9599B" w:rsidRPr="006B2036" w:rsidRDefault="00AB4FDA" w:rsidP="0049599B">
      <w:pPr>
        <w:ind w:left="1146"/>
        <w:jc w:val="both"/>
        <w:rPr>
          <w:rFonts w:asciiTheme="minorHAnsi" w:hAnsiTheme="minorHAnsi" w:cstheme="minorHAnsi"/>
          <w:sz w:val="20"/>
          <w:szCs w:val="20"/>
        </w:rPr>
      </w:pPr>
      <w:r w:rsidRPr="006B2036">
        <w:rPr>
          <w:rFonts w:asciiTheme="minorHAnsi" w:hAnsiTheme="minorHAnsi" w:cstheme="minorHAnsi"/>
          <w:sz w:val="20"/>
          <w:szCs w:val="20"/>
        </w:rPr>
        <w:t>De acuerdo al cronograma de plazos del Documento de Contratación Directa</w:t>
      </w:r>
      <w:r w:rsidR="00B81697" w:rsidRPr="006B2036">
        <w:rPr>
          <w:rFonts w:asciiTheme="minorHAnsi" w:hAnsiTheme="minorHAnsi" w:cstheme="minorHAnsi"/>
          <w:sz w:val="20"/>
          <w:szCs w:val="20"/>
        </w:rPr>
        <w:t>,</w:t>
      </w:r>
      <w:r w:rsidR="001719DA" w:rsidRPr="006B2036">
        <w:rPr>
          <w:rFonts w:asciiTheme="minorHAnsi" w:hAnsiTheme="minorHAnsi" w:cstheme="minorHAnsi"/>
          <w:sz w:val="20"/>
          <w:szCs w:val="20"/>
        </w:rPr>
        <w:t xml:space="preserve"> el</w:t>
      </w:r>
      <w:r w:rsidR="00EB39A6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Comité de Contratación</w:t>
      </w:r>
      <w:r w:rsidR="00EC7EA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D1A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instalo el acto de </w:t>
      </w:r>
      <w:r w:rsidR="00EC7EA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apertura </w:t>
      </w:r>
      <w:r w:rsidR="00BF632E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3B333A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oferta</w:t>
      </w:r>
      <w:r w:rsidR="00B8169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horas </w:t>
      </w:r>
      <w:r w:rsidR="007F4B2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11:00</w:t>
      </w:r>
      <w:r w:rsidR="00B8169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7F4B2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14 DE OCTUBRE 2015</w:t>
      </w:r>
      <w:r w:rsidR="00EC7EA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aplicando la metodología </w:t>
      </w:r>
      <w:r w:rsidR="00EC7EA1" w:rsidRPr="006B203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Presentó/No Presentó </w:t>
      </w:r>
      <w:r w:rsidR="00EC7EA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en el Formulario V-1</w:t>
      </w:r>
      <w:r w:rsidR="007D1AE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los documentos solicitados</w:t>
      </w:r>
      <w:r w:rsidR="0049599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B81697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que forma parte del acta de apertura de </w:t>
      </w:r>
      <w:r w:rsidR="0049599B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ofertas adjunt</w:t>
      </w:r>
      <w:r w:rsidR="0049599B" w:rsidRPr="006B2036">
        <w:rPr>
          <w:rFonts w:asciiTheme="minorHAnsi" w:hAnsiTheme="minorHAnsi" w:cstheme="minorHAnsi"/>
          <w:sz w:val="20"/>
          <w:szCs w:val="20"/>
        </w:rPr>
        <w:t>o a la carpeta del proceso.</w:t>
      </w:r>
    </w:p>
    <w:p w:rsidR="0049599B" w:rsidRPr="006B2036" w:rsidRDefault="0049599B" w:rsidP="0049599B">
      <w:pPr>
        <w:pStyle w:val="Prrafodelista"/>
        <w:ind w:left="114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</w:pPr>
    </w:p>
    <w:p w:rsidR="001C5688" w:rsidRPr="006B2036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EVALUACIÓN DE OFERTAS</w:t>
      </w:r>
      <w:r w:rsidR="001C0DA2" w:rsidRPr="006B20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A67F72" w:rsidRPr="006B2036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5F6250" w:rsidRPr="006B2036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</w:t>
      </w:r>
      <w:r w:rsidR="00D30A0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Comité </w:t>
      </w:r>
      <w:r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de Contratación</w:t>
      </w:r>
      <w:r w:rsidR="006D010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 el marco de </w:t>
      </w:r>
      <w:r w:rsidR="00D30A08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sus funciones</w:t>
      </w:r>
      <w:r w:rsidR="006D0105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1C0DA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procedió a la evaluación de </w:t>
      </w:r>
      <w:r w:rsidR="008910FF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</w:t>
      </w:r>
      <w:r w:rsidR="0040574C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oferta </w:t>
      </w:r>
      <w:r w:rsidR="000F0211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presentada</w:t>
      </w:r>
      <w:r w:rsidR="006D1902" w:rsidRPr="006B20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6D1902" w:rsidRPr="006B2036" w:rsidRDefault="006D1902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93A7D" w:rsidRPr="006B2036" w:rsidRDefault="00D97945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2036">
        <w:rPr>
          <w:rFonts w:asciiTheme="minorHAnsi" w:hAnsiTheme="minorHAnsi" w:cstheme="minorHAnsi"/>
          <w:b/>
          <w:bCs/>
          <w:sz w:val="20"/>
          <w:szCs w:val="20"/>
        </w:rPr>
        <w:t>Verificación SICOES</w:t>
      </w:r>
    </w:p>
    <w:p w:rsidR="00F93A7D" w:rsidRPr="006B2036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</w:pPr>
    </w:p>
    <w:p w:rsidR="003E7A82" w:rsidRPr="006B2036" w:rsidRDefault="003E7A82" w:rsidP="003E7A82">
      <w:pPr>
        <w:ind w:left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6B2036">
        <w:rPr>
          <w:rFonts w:asciiTheme="minorHAnsi" w:hAnsiTheme="minorHAnsi" w:cstheme="minorHAnsi"/>
          <w:sz w:val="20"/>
          <w:szCs w:val="20"/>
          <w:lang w:eastAsia="en-US"/>
        </w:rPr>
        <w:t>En Base a lo descrito en el RE-SABS-EPNE YPFB</w:t>
      </w:r>
      <w:r w:rsidR="0038245B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y en el marco de las </w:t>
      </w:r>
      <w:r w:rsidR="00E96203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Políticas </w:t>
      </w:r>
      <w:r w:rsidR="0038245B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y </w:t>
      </w:r>
      <w:r w:rsidR="00E96203" w:rsidRPr="006B2036">
        <w:rPr>
          <w:rFonts w:asciiTheme="minorHAnsi" w:hAnsiTheme="minorHAnsi" w:cstheme="minorHAnsi"/>
          <w:sz w:val="20"/>
          <w:szCs w:val="20"/>
          <w:lang w:eastAsia="en-US"/>
        </w:rPr>
        <w:t>Lineamientos Corporativos</w:t>
      </w:r>
      <w:r w:rsidR="0038245B" w:rsidRPr="006B2036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con carácter previo a la Evaluación Preliminar </w:t>
      </w:r>
      <w:r w:rsidR="003075FF" w:rsidRPr="006B2036">
        <w:rPr>
          <w:rFonts w:asciiTheme="minorHAnsi" w:hAnsiTheme="minorHAnsi" w:cstheme="minorHAnsi"/>
          <w:b/>
          <w:sz w:val="20"/>
          <w:szCs w:val="20"/>
        </w:rPr>
        <w:t xml:space="preserve">(Anexo 1), </w:t>
      </w:r>
      <w:r w:rsidRPr="006B2036">
        <w:rPr>
          <w:rFonts w:asciiTheme="minorHAnsi" w:hAnsiTheme="minorHAnsi" w:cstheme="minorHAnsi"/>
          <w:sz w:val="20"/>
          <w:szCs w:val="20"/>
          <w:lang w:eastAsia="en-US"/>
        </w:rPr>
        <w:t>se establece según reportes y antecedentes adjuntos del SICOES</w:t>
      </w:r>
      <w:r w:rsidR="009D19CB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AA0781" w:rsidRPr="006B2036">
        <w:rPr>
          <w:rFonts w:asciiTheme="minorHAnsi" w:hAnsiTheme="minorHAnsi" w:cstheme="minorHAnsi"/>
          <w:sz w:val="20"/>
          <w:szCs w:val="20"/>
          <w:lang w:eastAsia="en-US"/>
        </w:rPr>
        <w:t>lo siguiente</w:t>
      </w:r>
      <w:r w:rsidR="006A3583" w:rsidRPr="006B2036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p w:rsidR="006A3583" w:rsidRPr="006B2036" w:rsidRDefault="006A3583" w:rsidP="003E7A82">
      <w:pPr>
        <w:ind w:left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AA0781" w:rsidRPr="006B2036" w:rsidRDefault="007F4B2B" w:rsidP="00AA0781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6B2036">
        <w:rPr>
          <w:rFonts w:asciiTheme="minorHAnsi" w:hAnsiTheme="minorHAnsi" w:cstheme="minorHAnsi"/>
          <w:sz w:val="20"/>
          <w:szCs w:val="20"/>
          <w:lang w:eastAsia="en-US"/>
        </w:rPr>
        <w:t>El ofertante que no presenta</w:t>
      </w:r>
      <w:r w:rsidR="006C2C9C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Contratos, Órdenes de Compra/Servicio resueltos y</w:t>
      </w:r>
      <w:r w:rsidR="0092604E" w:rsidRPr="006B2036">
        <w:rPr>
          <w:rFonts w:asciiTheme="minorHAnsi" w:hAnsiTheme="minorHAnsi" w:cstheme="minorHAnsi"/>
          <w:sz w:val="20"/>
          <w:szCs w:val="20"/>
          <w:lang w:eastAsia="en-US"/>
        </w:rPr>
        <w:t>/o</w:t>
      </w:r>
      <w:r w:rsidR="006C2C9C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desistimientos de Contratos, Órdenes de Compra/Servicios </w:t>
      </w:r>
      <w:r w:rsidR="0092604E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y no están impedidos, </w:t>
      </w:r>
      <w:r w:rsidRPr="006B2036">
        <w:rPr>
          <w:rFonts w:asciiTheme="minorHAnsi" w:hAnsiTheme="minorHAnsi" w:cstheme="minorHAnsi"/>
          <w:sz w:val="20"/>
          <w:szCs w:val="20"/>
          <w:lang w:eastAsia="en-US"/>
        </w:rPr>
        <w:t>ES</w:t>
      </w:r>
      <w:r w:rsidR="006C2C9C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:</w:t>
      </w:r>
      <w:r w:rsidR="00AA0781" w:rsidRPr="006B2036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tbl>
      <w:tblPr>
        <w:tblW w:w="8317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289"/>
        <w:gridCol w:w="3128"/>
      </w:tblGrid>
      <w:tr w:rsidR="0092604E" w:rsidRPr="006B2036" w:rsidTr="007F4B2B">
        <w:trPr>
          <w:trHeight w:val="585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6B2036" w:rsidRDefault="0092604E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6B2036" w:rsidRDefault="0092604E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 LA EMPRESA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6B2036" w:rsidRDefault="0092604E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</w:t>
            </w:r>
          </w:p>
        </w:tc>
      </w:tr>
      <w:tr w:rsidR="0092604E" w:rsidRPr="006B2036" w:rsidTr="007F4B2B">
        <w:trPr>
          <w:trHeight w:val="321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604E" w:rsidRPr="006B2036" w:rsidRDefault="007F4B2B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4E" w:rsidRPr="006B2036" w:rsidRDefault="007F4B2B" w:rsidP="002147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ALEJANDRO MURUCHI TORIICO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604E" w:rsidRPr="006B2036" w:rsidRDefault="007F4B2B" w:rsidP="002147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7376755011</w:t>
            </w:r>
          </w:p>
        </w:tc>
      </w:tr>
    </w:tbl>
    <w:p w:rsidR="006C2C9C" w:rsidRPr="006B2036" w:rsidRDefault="006C2C9C" w:rsidP="00AA0781">
      <w:pPr>
        <w:pStyle w:val="Prrafodelista"/>
        <w:ind w:left="78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FB54AB" w:rsidRPr="006B2036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2036">
        <w:rPr>
          <w:rFonts w:asciiTheme="minorHAnsi" w:hAnsiTheme="minorHAnsi" w:cstheme="minorHAnsi"/>
          <w:b/>
          <w:bCs/>
          <w:sz w:val="20"/>
          <w:szCs w:val="20"/>
        </w:rPr>
        <w:t>Evaluación Preliminar</w:t>
      </w:r>
    </w:p>
    <w:p w:rsidR="003E7A82" w:rsidRPr="006B2036" w:rsidRDefault="003E7A82" w:rsidP="00BB2A32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A604A2" w:rsidRPr="006B2036" w:rsidRDefault="00A67880" w:rsidP="00A604A2">
      <w:pPr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2036">
        <w:rPr>
          <w:rFonts w:asciiTheme="minorHAnsi" w:hAnsiTheme="minorHAnsi" w:cstheme="minorHAnsi"/>
          <w:sz w:val="20"/>
          <w:szCs w:val="20"/>
        </w:rPr>
        <w:t>E</w:t>
      </w:r>
      <w:r w:rsidR="00A604A2" w:rsidRPr="006B2036">
        <w:rPr>
          <w:rFonts w:asciiTheme="minorHAnsi" w:hAnsiTheme="minorHAnsi" w:cstheme="minorHAnsi"/>
          <w:sz w:val="20"/>
          <w:szCs w:val="20"/>
        </w:rPr>
        <w:t>l Comité de Contratación, en sesión reservada y según la verificación de presentación de documentos del Acto de Apertura, determina aplicando la metodología cumple /no cumple según Formulario V-1</w:t>
      </w:r>
      <w:r w:rsidR="00FD75B5" w:rsidRPr="006B2036">
        <w:rPr>
          <w:rFonts w:asciiTheme="minorHAnsi" w:hAnsiTheme="minorHAnsi" w:cstheme="minorHAnsi"/>
          <w:sz w:val="20"/>
          <w:szCs w:val="20"/>
        </w:rPr>
        <w:t xml:space="preserve"> </w:t>
      </w:r>
      <w:r w:rsidR="003075FF" w:rsidRPr="006B2036">
        <w:rPr>
          <w:rFonts w:asciiTheme="minorHAnsi" w:hAnsiTheme="minorHAnsi" w:cstheme="minorHAnsi"/>
          <w:b/>
          <w:sz w:val="20"/>
          <w:szCs w:val="20"/>
        </w:rPr>
        <w:t>(Anexo 2</w:t>
      </w:r>
      <w:r w:rsidR="00FD75B5" w:rsidRPr="006B2036">
        <w:rPr>
          <w:rFonts w:asciiTheme="minorHAnsi" w:hAnsiTheme="minorHAnsi" w:cstheme="minorHAnsi"/>
          <w:b/>
          <w:sz w:val="20"/>
          <w:szCs w:val="20"/>
        </w:rPr>
        <w:t>),</w:t>
      </w:r>
      <w:r w:rsidR="00A604A2" w:rsidRPr="006B2036">
        <w:rPr>
          <w:rFonts w:asciiTheme="minorHAnsi" w:hAnsiTheme="minorHAnsi" w:cstheme="minorHAnsi"/>
          <w:sz w:val="20"/>
          <w:szCs w:val="20"/>
        </w:rPr>
        <w:t xml:space="preserve"> lo siguiente:</w:t>
      </w:r>
    </w:p>
    <w:p w:rsidR="00A604A2" w:rsidRPr="006B2036" w:rsidRDefault="00A604A2" w:rsidP="00B11B4F">
      <w:pPr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348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443"/>
        <w:gridCol w:w="1531"/>
        <w:gridCol w:w="1519"/>
        <w:gridCol w:w="2325"/>
      </w:tblGrid>
      <w:tr w:rsidR="001322FC" w:rsidRPr="006B2036" w:rsidTr="00FE7DED">
        <w:trPr>
          <w:trHeight w:val="475"/>
          <w:jc w:val="right"/>
        </w:trPr>
        <w:tc>
          <w:tcPr>
            <w:tcW w:w="537" w:type="dxa"/>
            <w:shd w:val="clear" w:color="auto" w:fill="BFBFBF" w:themeFill="background1" w:themeFillShade="BF"/>
            <w:vAlign w:val="center"/>
          </w:tcPr>
          <w:p w:rsidR="00A604A2" w:rsidRPr="006B2036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N°</w:t>
            </w:r>
          </w:p>
        </w:tc>
        <w:tc>
          <w:tcPr>
            <w:tcW w:w="2529" w:type="dxa"/>
            <w:shd w:val="clear" w:color="auto" w:fill="BFBFBF" w:themeFill="background1" w:themeFillShade="BF"/>
            <w:vAlign w:val="center"/>
          </w:tcPr>
          <w:p w:rsidR="00A604A2" w:rsidRPr="006B2036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 DEL OFERENTE</w:t>
            </w:r>
          </w:p>
        </w:tc>
        <w:tc>
          <w:tcPr>
            <w:tcW w:w="1573" w:type="dxa"/>
            <w:shd w:val="clear" w:color="auto" w:fill="BFBFBF" w:themeFill="background1" w:themeFillShade="BF"/>
            <w:vAlign w:val="center"/>
          </w:tcPr>
          <w:p w:rsidR="00A604A2" w:rsidRPr="006B2036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CUMPLE / NO CUMPLE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A604A2" w:rsidRPr="006B2036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HABILITADA / DESCALIFICADA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:rsidR="00A604A2" w:rsidRPr="006B2036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JUSTIFICACIÓN Y CAUSAL EN CASO DESCALIFICACIÓN</w:t>
            </w:r>
          </w:p>
        </w:tc>
      </w:tr>
      <w:tr w:rsidR="001322FC" w:rsidRPr="006B2036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A604A2" w:rsidRPr="006B2036" w:rsidRDefault="00A604A2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9" w:type="dxa"/>
            <w:vAlign w:val="center"/>
          </w:tcPr>
          <w:p w:rsidR="00A604A2" w:rsidRPr="006B2036" w:rsidRDefault="007F4B2B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ALEJANDRO MURUCHI TORIICO</w:t>
            </w:r>
          </w:p>
        </w:tc>
        <w:tc>
          <w:tcPr>
            <w:tcW w:w="1573" w:type="dxa"/>
            <w:vAlign w:val="center"/>
          </w:tcPr>
          <w:p w:rsidR="00A604A2" w:rsidRPr="006B2036" w:rsidRDefault="00BF3B31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 </w:t>
            </w:r>
            <w:r w:rsidR="001322FC" w:rsidRPr="006B20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1341" w:type="dxa"/>
            <w:vAlign w:val="center"/>
          </w:tcPr>
          <w:p w:rsidR="00A604A2" w:rsidRPr="006B2036" w:rsidRDefault="00BF3B31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DESCALIFICADA</w:t>
            </w:r>
          </w:p>
        </w:tc>
        <w:tc>
          <w:tcPr>
            <w:tcW w:w="2368" w:type="dxa"/>
            <w:vAlign w:val="center"/>
          </w:tcPr>
          <w:p w:rsidR="00A604A2" w:rsidRPr="006B2036" w:rsidRDefault="00BF3B31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 presento Formulario B-1 Propuesta económica</w:t>
            </w:r>
          </w:p>
        </w:tc>
      </w:tr>
    </w:tbl>
    <w:p w:rsidR="00A604A2" w:rsidRPr="006B2036" w:rsidRDefault="00A604A2" w:rsidP="00B11B4F">
      <w:pPr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14749" w:rsidRPr="006B2036" w:rsidRDefault="00214749" w:rsidP="008B3932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B2036">
        <w:rPr>
          <w:rFonts w:asciiTheme="minorHAnsi" w:hAnsiTheme="minorHAnsi" w:cstheme="minorHAnsi"/>
          <w:b/>
          <w:bCs/>
          <w:sz w:val="20"/>
          <w:szCs w:val="20"/>
        </w:rPr>
        <w:t>CONCLUSIONES</w:t>
      </w:r>
      <w:r w:rsidR="00DB3B41" w:rsidRPr="006B20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214749" w:rsidRPr="006B2036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3B41" w:rsidRPr="006B2036" w:rsidRDefault="00214749" w:rsidP="00214749">
      <w:pPr>
        <w:jc w:val="both"/>
        <w:rPr>
          <w:rFonts w:asciiTheme="minorHAnsi" w:hAnsiTheme="minorHAnsi" w:cstheme="minorHAnsi"/>
          <w:sz w:val="20"/>
          <w:szCs w:val="20"/>
        </w:rPr>
      </w:pPr>
      <w:r w:rsidRPr="006B2036">
        <w:rPr>
          <w:rFonts w:asciiTheme="minorHAnsi" w:hAnsiTheme="minorHAnsi" w:cstheme="minorHAnsi"/>
          <w:sz w:val="20"/>
          <w:szCs w:val="20"/>
        </w:rPr>
        <w:t xml:space="preserve">El Comité de Contratación, </w:t>
      </w:r>
      <w:r w:rsidR="00DB3B41" w:rsidRPr="006B2036">
        <w:rPr>
          <w:rFonts w:asciiTheme="minorHAnsi" w:hAnsiTheme="minorHAnsi" w:cstheme="minorHAnsi"/>
          <w:sz w:val="20"/>
          <w:szCs w:val="20"/>
        </w:rPr>
        <w:t>de acuerdo</w:t>
      </w:r>
      <w:r w:rsidRPr="006B2036">
        <w:rPr>
          <w:rFonts w:asciiTheme="minorHAnsi" w:hAnsiTheme="minorHAnsi" w:cstheme="minorHAnsi"/>
          <w:sz w:val="20"/>
          <w:szCs w:val="20"/>
        </w:rPr>
        <w:t xml:space="preserve"> </w:t>
      </w:r>
      <w:r w:rsidR="00DB3B41" w:rsidRPr="006B2036">
        <w:rPr>
          <w:rFonts w:asciiTheme="minorHAnsi" w:hAnsiTheme="minorHAnsi" w:cstheme="minorHAnsi"/>
          <w:sz w:val="20"/>
          <w:szCs w:val="20"/>
        </w:rPr>
        <w:t>al Art.</w:t>
      </w:r>
      <w:r w:rsidRPr="006B2036">
        <w:rPr>
          <w:rFonts w:asciiTheme="minorHAnsi" w:hAnsiTheme="minorHAnsi" w:cstheme="minorHAnsi"/>
          <w:sz w:val="20"/>
          <w:szCs w:val="20"/>
        </w:rPr>
        <w:t xml:space="preserve"> 26 del RE-SABS-EPNE YPFB y una vez concluida la evaluación </w:t>
      </w:r>
      <w:r w:rsidR="00DB3B41" w:rsidRPr="006B2036">
        <w:rPr>
          <w:rFonts w:asciiTheme="minorHAnsi" w:hAnsiTheme="minorHAnsi" w:cstheme="minorHAnsi"/>
          <w:sz w:val="20"/>
          <w:szCs w:val="20"/>
        </w:rPr>
        <w:t>de la contratación determina lo siguiente:</w:t>
      </w:r>
    </w:p>
    <w:p w:rsidR="00DB3B41" w:rsidRPr="006B2036" w:rsidRDefault="00DB3B41" w:rsidP="0021474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1102" w:rsidRPr="006B2036" w:rsidRDefault="00BF3B31" w:rsidP="00920B3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propuesta del S</w:t>
      </w:r>
      <w:r w:rsidR="007F4B2B" w:rsidRPr="006B2036">
        <w:rPr>
          <w:rFonts w:asciiTheme="minorHAnsi" w:hAnsiTheme="minorHAnsi" w:cstheme="minorHAnsi"/>
          <w:sz w:val="20"/>
          <w:szCs w:val="20"/>
        </w:rPr>
        <w:t xml:space="preserve">r.  Alejandro </w:t>
      </w:r>
      <w:proofErr w:type="spellStart"/>
      <w:r w:rsidR="007F4B2B" w:rsidRPr="006B2036">
        <w:rPr>
          <w:rFonts w:asciiTheme="minorHAnsi" w:hAnsiTheme="minorHAnsi" w:cstheme="minorHAnsi"/>
          <w:sz w:val="20"/>
          <w:szCs w:val="20"/>
        </w:rPr>
        <w:t>Muruchi</w:t>
      </w:r>
      <w:proofErr w:type="spellEnd"/>
      <w:r w:rsidR="007F4B2B" w:rsidRPr="006B203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F4B2B" w:rsidRPr="006B2036">
        <w:rPr>
          <w:rFonts w:asciiTheme="minorHAnsi" w:hAnsiTheme="minorHAnsi" w:cstheme="minorHAnsi"/>
          <w:sz w:val="20"/>
          <w:szCs w:val="20"/>
        </w:rPr>
        <w:t>Torrico</w:t>
      </w:r>
      <w:proofErr w:type="spellEnd"/>
      <w:r w:rsidR="007F4B2B" w:rsidRPr="006B203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no </w:t>
      </w:r>
      <w:r w:rsidR="007F4B2B" w:rsidRPr="006B2036">
        <w:rPr>
          <w:rFonts w:asciiTheme="minorHAnsi" w:hAnsiTheme="minorHAnsi" w:cstheme="minorHAnsi"/>
          <w:sz w:val="20"/>
          <w:szCs w:val="20"/>
        </w:rPr>
        <w:t>cumple</w:t>
      </w:r>
      <w:r w:rsidR="00977997" w:rsidRPr="006B2036">
        <w:rPr>
          <w:rFonts w:asciiTheme="minorHAnsi" w:hAnsiTheme="minorHAnsi" w:cstheme="minorHAnsi"/>
          <w:sz w:val="20"/>
          <w:szCs w:val="20"/>
        </w:rPr>
        <w:t xml:space="preserve"> con todos los aspectos sujetos a evaluación  solicitados en el DCD.</w:t>
      </w:r>
    </w:p>
    <w:p w:rsidR="00083BFD" w:rsidRPr="006B2036" w:rsidRDefault="00083BFD" w:rsidP="00920B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14749" w:rsidRPr="006B2036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B2036">
        <w:rPr>
          <w:rFonts w:asciiTheme="minorHAnsi" w:hAnsiTheme="minorHAnsi" w:cstheme="minorHAnsi"/>
          <w:b/>
          <w:bCs/>
          <w:sz w:val="20"/>
          <w:szCs w:val="20"/>
        </w:rPr>
        <w:lastRenderedPageBreak/>
        <w:t>RECOMENDACIÓN</w:t>
      </w:r>
      <w:r w:rsidR="00020621" w:rsidRPr="006B20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214749" w:rsidRPr="006B2036" w:rsidRDefault="00214749" w:rsidP="0021474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158E8" w:rsidRDefault="00214749" w:rsidP="00214749">
      <w:pPr>
        <w:jc w:val="both"/>
        <w:rPr>
          <w:rFonts w:asciiTheme="minorHAnsi" w:hAnsiTheme="minorHAnsi" w:cstheme="minorHAnsi"/>
          <w:sz w:val="20"/>
          <w:szCs w:val="20"/>
        </w:rPr>
      </w:pPr>
      <w:r w:rsidRPr="006B2036">
        <w:rPr>
          <w:rFonts w:asciiTheme="minorHAnsi" w:hAnsiTheme="minorHAnsi" w:cstheme="minorHAnsi"/>
          <w:sz w:val="20"/>
          <w:szCs w:val="20"/>
        </w:rPr>
        <w:t xml:space="preserve">Efectuada la evaluación </w:t>
      </w:r>
      <w:r w:rsidR="00FE7DED" w:rsidRPr="006B2036">
        <w:rPr>
          <w:rFonts w:asciiTheme="minorHAnsi" w:hAnsiTheme="minorHAnsi" w:cstheme="minorHAnsi"/>
          <w:sz w:val="20"/>
          <w:szCs w:val="20"/>
        </w:rPr>
        <w:t xml:space="preserve">de la </w:t>
      </w:r>
      <w:r w:rsidRPr="006B2036">
        <w:rPr>
          <w:rFonts w:asciiTheme="minorHAnsi" w:hAnsiTheme="minorHAnsi" w:cstheme="minorHAnsi"/>
          <w:sz w:val="20"/>
          <w:szCs w:val="20"/>
        </w:rPr>
        <w:t>contratación</w:t>
      </w:r>
      <w:r w:rsidR="00E158E8" w:rsidRPr="006B2036">
        <w:rPr>
          <w:rFonts w:asciiTheme="minorHAnsi" w:hAnsiTheme="minorHAnsi" w:cstheme="minorHAnsi"/>
          <w:sz w:val="20"/>
          <w:szCs w:val="20"/>
        </w:rPr>
        <w:t xml:space="preserve"> </w:t>
      </w:r>
      <w:r w:rsidR="007F4B2B" w:rsidRPr="006B2036">
        <w:rPr>
          <w:rFonts w:asciiTheme="minorHAnsi" w:hAnsiTheme="minorHAnsi" w:cstheme="minorHAnsi"/>
          <w:sz w:val="20"/>
          <w:szCs w:val="20"/>
        </w:rPr>
        <w:t xml:space="preserve">ALQUILER DE AMBIENTES PARA LA SOCIALIZACION INSTALACIONES DE GAS DOMICILIARIO EN EL TROPICO DE COCHABAMBA, </w:t>
      </w:r>
      <w:r w:rsidR="00E158E8" w:rsidRPr="006B2036">
        <w:rPr>
          <w:rFonts w:asciiTheme="minorHAnsi" w:hAnsiTheme="minorHAnsi" w:cstheme="minorHAnsi"/>
          <w:sz w:val="20"/>
          <w:szCs w:val="20"/>
        </w:rPr>
        <w:t xml:space="preserve">el Comité de Contratación </w:t>
      </w:r>
      <w:r w:rsidRPr="006B2036">
        <w:rPr>
          <w:rFonts w:asciiTheme="minorHAnsi" w:hAnsiTheme="minorHAnsi" w:cstheme="minorHAnsi"/>
          <w:sz w:val="20"/>
          <w:szCs w:val="20"/>
        </w:rPr>
        <w:t>recomienda al Responsable del Proceso de Contratación (RPC) en aplicación al</w:t>
      </w:r>
      <w:r w:rsidR="00E158E8" w:rsidRPr="006B2036">
        <w:rPr>
          <w:rFonts w:asciiTheme="minorHAnsi" w:hAnsiTheme="minorHAnsi" w:cstheme="minorHAnsi"/>
          <w:sz w:val="20"/>
          <w:szCs w:val="20"/>
        </w:rPr>
        <w:t xml:space="preserve"> </w:t>
      </w:r>
      <w:r w:rsidR="00FE7DED" w:rsidRPr="006B2036">
        <w:rPr>
          <w:rFonts w:asciiTheme="minorHAnsi" w:hAnsiTheme="minorHAnsi" w:cstheme="minorHAnsi"/>
          <w:sz w:val="20"/>
          <w:szCs w:val="20"/>
        </w:rPr>
        <w:t>inciso c) del Art. 26 del RE-SABS-EPNE YPFB,</w:t>
      </w:r>
      <w:r w:rsidR="00E158E8" w:rsidRPr="006B2036">
        <w:rPr>
          <w:rFonts w:asciiTheme="minorHAnsi" w:hAnsiTheme="minorHAnsi" w:cstheme="minorHAnsi"/>
          <w:sz w:val="20"/>
          <w:szCs w:val="20"/>
        </w:rPr>
        <w:t xml:space="preserve"> lo siguiente:</w:t>
      </w:r>
    </w:p>
    <w:p w:rsidR="00BF3B31" w:rsidRDefault="00BF3B31" w:rsidP="0021474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F3B31" w:rsidRDefault="00BF3B31" w:rsidP="0021474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Reiniciar el proceso, reconsiderando las observaciones en base a las especificaciones técnicas.</w:t>
      </w:r>
    </w:p>
    <w:p w:rsidR="006B2036" w:rsidRPr="006B2036" w:rsidRDefault="006B2036" w:rsidP="0021474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14749" w:rsidRPr="006B2036" w:rsidRDefault="00214749" w:rsidP="00214749">
      <w:pPr>
        <w:pStyle w:val="Sinespaciad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D5B46" w:rsidRPr="006B2036" w:rsidRDefault="00CD5B46" w:rsidP="00214749">
      <w:pPr>
        <w:pStyle w:val="Sinespaciad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14749" w:rsidRPr="006B2036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B2036">
        <w:rPr>
          <w:rFonts w:asciiTheme="minorHAnsi" w:hAnsiTheme="minorHAnsi" w:cstheme="minorHAnsi"/>
          <w:b/>
          <w:bCs/>
          <w:sz w:val="20"/>
          <w:szCs w:val="20"/>
        </w:rPr>
        <w:t>FIRMAN POR EL COMITÉ DE CONTRATACIÓN:</w:t>
      </w:r>
    </w:p>
    <w:p w:rsidR="00214749" w:rsidRPr="006B2036" w:rsidRDefault="00214749" w:rsidP="00214749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909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650"/>
        <w:gridCol w:w="2174"/>
      </w:tblGrid>
      <w:tr w:rsidR="00214749" w:rsidRPr="006B2036" w:rsidTr="00FE7DED">
        <w:trPr>
          <w:trHeight w:val="326"/>
          <w:jc w:val="center"/>
        </w:trPr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6B2036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6B2036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6B2036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B20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14749" w:rsidRPr="006B2036" w:rsidTr="00FE7DED">
        <w:trPr>
          <w:trHeight w:val="770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214749" w:rsidRPr="006B2036" w:rsidRDefault="00214749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:rsidR="00214749" w:rsidRPr="006B2036" w:rsidRDefault="00214749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  <w:vAlign w:val="center"/>
          </w:tcPr>
          <w:p w:rsidR="00214749" w:rsidRPr="006B2036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3B31" w:rsidRPr="006B2036" w:rsidTr="00FE7DED">
        <w:trPr>
          <w:trHeight w:val="770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BF3B31" w:rsidRPr="006B2036" w:rsidRDefault="00BF3B31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:rsidR="00BF3B31" w:rsidRPr="006B2036" w:rsidRDefault="00BF3B31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  <w:vAlign w:val="center"/>
          </w:tcPr>
          <w:p w:rsidR="00BF3B31" w:rsidRPr="006B2036" w:rsidRDefault="00BF3B31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4749" w:rsidRPr="006B2036" w:rsidTr="00FE7DED">
        <w:trPr>
          <w:trHeight w:val="838"/>
          <w:jc w:val="center"/>
        </w:trPr>
        <w:tc>
          <w:tcPr>
            <w:tcW w:w="3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749" w:rsidRPr="006B2036" w:rsidRDefault="00214749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50" w:type="dxa"/>
            <w:tcBorders>
              <w:bottom w:val="single" w:sz="12" w:space="0" w:color="auto"/>
            </w:tcBorders>
            <w:vAlign w:val="center"/>
          </w:tcPr>
          <w:p w:rsidR="00214749" w:rsidRPr="006B2036" w:rsidRDefault="00214749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749" w:rsidRPr="006B2036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6D099F" w:rsidRDefault="007C2B35" w:rsidP="00214749">
      <w:pPr>
        <w:rPr>
          <w:rFonts w:ascii="Verdana" w:hAnsi="Verdana"/>
          <w:i/>
          <w:sz w:val="14"/>
          <w:szCs w:val="14"/>
        </w:rPr>
      </w:pPr>
      <w:r w:rsidRPr="006D099F">
        <w:rPr>
          <w:rFonts w:ascii="Verdana" w:hAnsi="Verdana"/>
          <w:i/>
          <w:sz w:val="14"/>
          <w:szCs w:val="14"/>
        </w:rPr>
        <w:t>ADJ</w:t>
      </w:r>
      <w:r w:rsidR="00214749" w:rsidRPr="006D099F">
        <w:rPr>
          <w:rFonts w:ascii="Verdana" w:hAnsi="Verdana"/>
          <w:i/>
          <w:sz w:val="14"/>
          <w:szCs w:val="14"/>
        </w:rPr>
        <w:t>. Lo citado</w:t>
      </w:r>
      <w:r w:rsidR="002B2D1D">
        <w:rPr>
          <w:rFonts w:ascii="Verdana" w:hAnsi="Verdana"/>
          <w:i/>
          <w:sz w:val="14"/>
          <w:szCs w:val="14"/>
        </w:rPr>
        <w:t xml:space="preserve"> anexos 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t xml:space="preserve">    </w:t>
      </w:r>
      <w:r w:rsidR="007C2B35">
        <w:rPr>
          <w:rFonts w:ascii="Verdana" w:hAnsi="Verdana"/>
          <w:i/>
          <w:sz w:val="14"/>
          <w:szCs w:val="14"/>
        </w:rPr>
        <w:t xml:space="preserve"> </w:t>
      </w:r>
      <w:r w:rsidRPr="006D099F">
        <w:rPr>
          <w:rFonts w:ascii="Verdana" w:hAnsi="Verdana"/>
          <w:i/>
          <w:sz w:val="14"/>
          <w:szCs w:val="14"/>
        </w:rPr>
        <w:t xml:space="preserve">  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E3" w:rsidRDefault="004744E3" w:rsidP="00D16FC0">
      <w:r>
        <w:separator/>
      </w:r>
    </w:p>
  </w:endnote>
  <w:endnote w:type="continuationSeparator" w:id="0">
    <w:p w:rsidR="004744E3" w:rsidRDefault="004744E3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073E" w:rsidRPr="00D57840" w:rsidRDefault="008D073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5B249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5B249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D073E" w:rsidRDefault="008D0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E3" w:rsidRDefault="004744E3" w:rsidP="00D16FC0">
      <w:r>
        <w:separator/>
      </w:r>
    </w:p>
  </w:footnote>
  <w:footnote w:type="continuationSeparator" w:id="0">
    <w:p w:rsidR="004744E3" w:rsidRDefault="004744E3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5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2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28"/>
  </w:num>
  <w:num w:numId="8">
    <w:abstractNumId w:val="27"/>
  </w:num>
  <w:num w:numId="9">
    <w:abstractNumId w:val="13"/>
  </w:num>
  <w:num w:numId="10">
    <w:abstractNumId w:val="25"/>
  </w:num>
  <w:num w:numId="11">
    <w:abstractNumId w:val="22"/>
  </w:num>
  <w:num w:numId="12">
    <w:abstractNumId w:val="0"/>
  </w:num>
  <w:num w:numId="13">
    <w:abstractNumId w:val="14"/>
  </w:num>
  <w:num w:numId="14">
    <w:abstractNumId w:val="23"/>
  </w:num>
  <w:num w:numId="15">
    <w:abstractNumId w:val="12"/>
  </w:num>
  <w:num w:numId="16">
    <w:abstractNumId w:val="2"/>
  </w:num>
  <w:num w:numId="17">
    <w:abstractNumId w:val="21"/>
  </w:num>
  <w:num w:numId="18">
    <w:abstractNumId w:val="24"/>
  </w:num>
  <w:num w:numId="19">
    <w:abstractNumId w:val="11"/>
  </w:num>
  <w:num w:numId="20">
    <w:abstractNumId w:val="17"/>
  </w:num>
  <w:num w:numId="21">
    <w:abstractNumId w:val="5"/>
  </w:num>
  <w:num w:numId="22">
    <w:abstractNumId w:val="20"/>
  </w:num>
  <w:num w:numId="23">
    <w:abstractNumId w:val="6"/>
  </w:num>
  <w:num w:numId="24">
    <w:abstractNumId w:val="26"/>
  </w:num>
  <w:num w:numId="25">
    <w:abstractNumId w:val="18"/>
  </w:num>
  <w:num w:numId="26">
    <w:abstractNumId w:val="1"/>
  </w:num>
  <w:num w:numId="27">
    <w:abstractNumId w:val="3"/>
  </w:num>
  <w:num w:numId="28">
    <w:abstractNumId w:val="10"/>
  </w:num>
  <w:num w:numId="29">
    <w:abstractNumId w:val="9"/>
  </w:num>
  <w:num w:numId="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1775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47E6"/>
    <w:rsid w:val="000A4F13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365A"/>
    <w:rsid w:val="0014541A"/>
    <w:rsid w:val="0014582C"/>
    <w:rsid w:val="00145A80"/>
    <w:rsid w:val="00150FEE"/>
    <w:rsid w:val="00152624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0077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4749"/>
    <w:rsid w:val="00222136"/>
    <w:rsid w:val="00222450"/>
    <w:rsid w:val="00224504"/>
    <w:rsid w:val="00230CD6"/>
    <w:rsid w:val="002313CC"/>
    <w:rsid w:val="002325D4"/>
    <w:rsid w:val="002333A4"/>
    <w:rsid w:val="0023345F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2E16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7683D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A334C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3349"/>
    <w:rsid w:val="00474429"/>
    <w:rsid w:val="004744E3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2F4D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2497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25A3"/>
    <w:rsid w:val="00633F7E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203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BB6"/>
    <w:rsid w:val="00700DE1"/>
    <w:rsid w:val="0070106B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138F"/>
    <w:rsid w:val="00721695"/>
    <w:rsid w:val="00721720"/>
    <w:rsid w:val="00725817"/>
    <w:rsid w:val="00725C5D"/>
    <w:rsid w:val="00726768"/>
    <w:rsid w:val="00730215"/>
    <w:rsid w:val="00731755"/>
    <w:rsid w:val="00734A4B"/>
    <w:rsid w:val="0073558A"/>
    <w:rsid w:val="007355B1"/>
    <w:rsid w:val="00736975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906C2"/>
    <w:rsid w:val="00791DB2"/>
    <w:rsid w:val="00792300"/>
    <w:rsid w:val="00792436"/>
    <w:rsid w:val="00796D4C"/>
    <w:rsid w:val="007A0C2F"/>
    <w:rsid w:val="007A20A9"/>
    <w:rsid w:val="007A397F"/>
    <w:rsid w:val="007A47F8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4B2B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103A"/>
    <w:rsid w:val="008F27B0"/>
    <w:rsid w:val="008F29BD"/>
    <w:rsid w:val="008F4858"/>
    <w:rsid w:val="008F611E"/>
    <w:rsid w:val="008F7835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3AA2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7459"/>
    <w:rsid w:val="00B2238F"/>
    <w:rsid w:val="00B23CFB"/>
    <w:rsid w:val="00B25F97"/>
    <w:rsid w:val="00B318DD"/>
    <w:rsid w:val="00B34210"/>
    <w:rsid w:val="00B36C4E"/>
    <w:rsid w:val="00B411C7"/>
    <w:rsid w:val="00B42F32"/>
    <w:rsid w:val="00B438A2"/>
    <w:rsid w:val="00B4417A"/>
    <w:rsid w:val="00B44474"/>
    <w:rsid w:val="00B4616D"/>
    <w:rsid w:val="00B50041"/>
    <w:rsid w:val="00B53B48"/>
    <w:rsid w:val="00B56A3D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3B31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B67E5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D27"/>
    <w:rsid w:val="00D216A7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6C0"/>
    <w:rsid w:val="00E22326"/>
    <w:rsid w:val="00E238A2"/>
    <w:rsid w:val="00E25EB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5D34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A0FC-2565-400F-99C6-546B8610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Sandra Boado</cp:lastModifiedBy>
  <cp:revision>8</cp:revision>
  <cp:lastPrinted>2016-02-22T16:09:00Z</cp:lastPrinted>
  <dcterms:created xsi:type="dcterms:W3CDTF">2015-07-16T23:20:00Z</dcterms:created>
  <dcterms:modified xsi:type="dcterms:W3CDTF">2016-02-22T16:10:00Z</dcterms:modified>
</cp:coreProperties>
</file>