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B75" w:rsidRPr="000322C8" w:rsidRDefault="00985B75" w:rsidP="00985B75">
      <w:pPr>
        <w:spacing w:line="276" w:lineRule="auto"/>
        <w:ind w:firstLine="360"/>
        <w:jc w:val="center"/>
        <w:rPr>
          <w:rFonts w:asciiTheme="majorHAnsi" w:hAnsiTheme="majorHAnsi"/>
          <w:b/>
          <w:sz w:val="28"/>
          <w:szCs w:val="56"/>
        </w:rPr>
      </w:pPr>
      <w:r w:rsidRPr="000322C8">
        <w:rPr>
          <w:rFonts w:asciiTheme="majorHAnsi" w:hAnsiTheme="majorHAnsi"/>
          <w:b/>
          <w:sz w:val="28"/>
          <w:szCs w:val="56"/>
        </w:rPr>
        <w:t>GRÁFICOS</w:t>
      </w:r>
    </w:p>
    <w:p w:rsidR="004A7456" w:rsidRPr="004A7456" w:rsidRDefault="004A7456" w:rsidP="00985B75">
      <w:pPr>
        <w:jc w:val="center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4A7456">
        <w:rPr>
          <w:rFonts w:asciiTheme="majorHAnsi" w:hAnsiTheme="majorHAnsi" w:cs="Calibri"/>
          <w:b/>
          <w:sz w:val="18"/>
          <w:szCs w:val="18"/>
        </w:rPr>
        <w:t>LETREROS</w:t>
      </w:r>
    </w:p>
    <w:p w:rsidR="00985B75" w:rsidRPr="00EA72E3" w:rsidRDefault="00985B75" w:rsidP="00EA72E3">
      <w:pPr>
        <w:tabs>
          <w:tab w:val="left" w:pos="384"/>
        </w:tabs>
        <w:spacing w:after="240" w:line="276" w:lineRule="auto"/>
        <w:contextualSpacing/>
        <w:jc w:val="both"/>
        <w:rPr>
          <w:rFonts w:asciiTheme="majorHAnsi" w:hAnsiTheme="majorHAnsi" w:cs="Calibri"/>
          <w:b/>
          <w:sz w:val="18"/>
          <w:szCs w:val="18"/>
        </w:rPr>
      </w:pPr>
      <w:r w:rsidRPr="00EA72E3">
        <w:rPr>
          <w:rFonts w:asciiTheme="majorHAnsi" w:hAnsiTheme="majorHAnsi" w:cs="Calibri"/>
          <w:b/>
          <w:sz w:val="18"/>
          <w:szCs w:val="18"/>
        </w:rPr>
        <w:t xml:space="preserve">LETREROS DE SEÑALIZACIÓN - HOMBRES TRABAJANDO. </w:t>
      </w:r>
    </w:p>
    <w:p w:rsidR="00985B75" w:rsidRPr="004A7456" w:rsidRDefault="00985B75" w:rsidP="00985B75">
      <w:pPr>
        <w:spacing w:before="240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sz w:val="18"/>
          <w:szCs w:val="18"/>
        </w:rPr>
        <w:t>(ESTRUCTURA METÁLICA, 850 mm de ancho por 1300 mm de alto)</w:t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49B1021B" wp14:editId="26AAB4DB">
            <wp:simplePos x="0" y="0"/>
            <wp:positionH relativeFrom="column">
              <wp:posOffset>823824</wp:posOffset>
            </wp:positionH>
            <wp:positionV relativeFrom="paragraph">
              <wp:posOffset>36195</wp:posOffset>
            </wp:positionV>
            <wp:extent cx="4443095" cy="1527175"/>
            <wp:effectExtent l="0" t="0" r="0" b="0"/>
            <wp:wrapNone/>
            <wp:docPr id="62" name="Imagen 2" descr="Descripción: C:\Users\RAUL\Desktop\nuevos letreros 2013\Letreros redes 201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RAUL\Desktop\nuevos letreros 2013\Letreros redes 2013-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7DE8F060" wp14:editId="6C5A8344">
            <wp:simplePos x="0" y="0"/>
            <wp:positionH relativeFrom="column">
              <wp:posOffset>941705</wp:posOffset>
            </wp:positionH>
            <wp:positionV relativeFrom="paragraph">
              <wp:posOffset>95860</wp:posOffset>
            </wp:positionV>
            <wp:extent cx="4278630" cy="1459230"/>
            <wp:effectExtent l="0" t="0" r="7620" b="7620"/>
            <wp:wrapSquare wrapText="bothSides"/>
            <wp:docPr id="60" name="Imagen 3" descr="Descripción: C:\Users\RAUL\Desktop\nuevos letreros 2013\Letreros redes 201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Descripción: C:\Users\RAUL\Desktop\nuevos letreros 2013\Letreros redes 2013-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76AB339" wp14:editId="036A84BA">
            <wp:simplePos x="0" y="0"/>
            <wp:positionH relativeFrom="margin">
              <wp:align>center</wp:align>
            </wp:positionH>
            <wp:positionV relativeFrom="paragraph">
              <wp:posOffset>124384</wp:posOffset>
            </wp:positionV>
            <wp:extent cx="2581275" cy="1350010"/>
            <wp:effectExtent l="0" t="0" r="9525" b="2540"/>
            <wp:wrapSquare wrapText="bothSides"/>
            <wp:docPr id="59" name="Imagen 4" descr="Descripción: C:\Users\RAUL\Desktop\nuevos letreros 2013\Letreros redes 2013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Descripción: C:\Users\RAUL\Desktop\nuevos letreros 2013\Letreros redes 2013-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985B75" w:rsidRPr="004A7456" w:rsidRDefault="00985B75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4A7456" w:rsidRPr="004A7456" w:rsidRDefault="004A7456" w:rsidP="00985B75">
      <w:pPr>
        <w:contextualSpacing/>
        <w:jc w:val="both"/>
        <w:rPr>
          <w:rFonts w:asciiTheme="majorHAnsi" w:hAnsiTheme="majorHAnsi"/>
          <w:iCs/>
          <w:sz w:val="18"/>
          <w:szCs w:val="18"/>
        </w:rPr>
      </w:pPr>
    </w:p>
    <w:p w:rsidR="00985B75" w:rsidRPr="00EA72E3" w:rsidRDefault="00985B75" w:rsidP="00EA72E3">
      <w:pPr>
        <w:tabs>
          <w:tab w:val="left" w:pos="384"/>
        </w:tabs>
        <w:spacing w:after="240" w:line="276" w:lineRule="auto"/>
        <w:contextualSpacing/>
        <w:jc w:val="both"/>
        <w:rPr>
          <w:rFonts w:asciiTheme="majorHAnsi" w:hAnsiTheme="majorHAnsi"/>
          <w:b/>
          <w:sz w:val="18"/>
          <w:szCs w:val="18"/>
          <w:u w:val="single"/>
          <w:lang w:val="es-BO"/>
        </w:rPr>
      </w:pPr>
      <w:r w:rsidRPr="00EA72E3">
        <w:rPr>
          <w:rFonts w:asciiTheme="majorHAnsi" w:hAnsiTheme="majorHAnsi" w:cs="Calibri"/>
          <w:b/>
          <w:sz w:val="18"/>
          <w:szCs w:val="18"/>
        </w:rPr>
        <w:lastRenderedPageBreak/>
        <w:t>LETRERO DE OBRA.</w:t>
      </w:r>
      <w:r w:rsidRPr="00EA72E3">
        <w:rPr>
          <w:rFonts w:asciiTheme="majorHAnsi" w:hAnsiTheme="majorHAnsi"/>
          <w:b/>
          <w:sz w:val="18"/>
          <w:szCs w:val="18"/>
        </w:rPr>
        <w:t xml:space="preserve"> </w:t>
      </w:r>
      <w:r w:rsidRPr="00EA72E3">
        <w:rPr>
          <w:rFonts w:asciiTheme="majorHAnsi" w:hAnsiTheme="majorHAnsi"/>
          <w:sz w:val="18"/>
          <w:szCs w:val="18"/>
        </w:rPr>
        <w:t xml:space="preserve">(De acuerdo a especificación, 2,8 m  de ancho por 2,0 mm de alto) </w:t>
      </w:r>
    </w:p>
    <w:p w:rsidR="00985B75" w:rsidRPr="004A7456" w:rsidRDefault="001D39CF" w:rsidP="00985B75">
      <w:pPr>
        <w:jc w:val="center"/>
        <w:rPr>
          <w:rFonts w:asciiTheme="majorHAnsi" w:eastAsia="Arial Unicode MS" w:hAnsiTheme="majorHAnsi"/>
          <w:b/>
          <w:noProof/>
          <w:sz w:val="18"/>
          <w:szCs w:val="18"/>
          <w:lang w:val="es-ES_tradnl" w:eastAsia="es-ES_tradnl"/>
        </w:rPr>
      </w:pPr>
      <w:r w:rsidRPr="001D39CF">
        <w:rPr>
          <w:rFonts w:eastAsia="Arial Unicode MS"/>
          <w:noProof/>
        </w:rPr>
        <w:drawing>
          <wp:inline distT="0" distB="0" distL="0" distR="0">
            <wp:extent cx="4486275" cy="3362325"/>
            <wp:effectExtent l="0" t="0" r="9525" b="9525"/>
            <wp:docPr id="3" name="Imagen 3" descr="D:\YPFB 2016\1.- PROFUNDIZACION Y VARIANTES RED SEC\letrero de o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PFB 2016\1.- PROFUNDIZACION Y VARIANTES RED SEC\letrero de obr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A61ECD">
      <w:pPr>
        <w:spacing w:before="240"/>
        <w:jc w:val="center"/>
        <w:rPr>
          <w:rFonts w:asciiTheme="majorHAnsi" w:hAnsiTheme="majorHAnsi" w:cs="Arial"/>
          <w:b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>
            <wp:extent cx="5686544" cy="3248025"/>
            <wp:effectExtent l="0" t="0" r="9525" b="0"/>
            <wp:docPr id="54" name="Imagen 25" descr="Descripción: C:\Users\Jhonny Quelca\Pictures\Nueva imagen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Descripción: C:\Users\Jhonny Quelca\Pictures\Nueva imagen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91" cy="325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456" w:rsidRPr="004A7456" w:rsidRDefault="004A7456" w:rsidP="00985B75">
      <w:pPr>
        <w:spacing w:before="240"/>
        <w:jc w:val="center"/>
        <w:rPr>
          <w:rFonts w:asciiTheme="majorHAnsi" w:hAnsiTheme="majorHAnsi" w:cs="Arial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bookmarkStart w:id="0" w:name="_Toc378667058"/>
      <w:bookmarkStart w:id="1" w:name="_Toc378667244"/>
      <w:bookmarkStart w:id="2" w:name="_Toc378667759"/>
      <w:bookmarkStart w:id="3" w:name="_Toc379132338"/>
      <w:r w:rsidRPr="004A7456">
        <w:rPr>
          <w:rFonts w:asciiTheme="majorHAnsi" w:hAnsiTheme="majorHAnsi" w:cs="Segoe Print"/>
          <w:b/>
          <w:sz w:val="18"/>
          <w:szCs w:val="18"/>
          <w:lang w:val="es-BO"/>
        </w:rPr>
        <w:t>EXCAVACIÓN DE ZANJAS</w:t>
      </w:r>
    </w:p>
    <w:p w:rsidR="00985B75" w:rsidRPr="004A7456" w:rsidRDefault="00985B75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 wp14:anchorId="695E6CE2" wp14:editId="6684173B">
            <wp:extent cx="3769995" cy="6245225"/>
            <wp:effectExtent l="0" t="0" r="0" b="0"/>
            <wp:docPr id="24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9" t="8743" r="48122" b="17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95" cy="62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</w:p>
    <w:p w:rsidR="004A7456" w:rsidRPr="004A7456" w:rsidRDefault="004A7456" w:rsidP="00985B75">
      <w:pPr>
        <w:jc w:val="center"/>
        <w:rPr>
          <w:rFonts w:asciiTheme="majorHAnsi" w:hAnsiTheme="majorHAnsi"/>
          <w:noProof/>
          <w:sz w:val="18"/>
          <w:szCs w:val="18"/>
          <w:lang w:val="es-BO" w:eastAsia="es-BO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/>
          <w:b/>
          <w:sz w:val="18"/>
          <w:szCs w:val="18"/>
          <w:lang w:val="es-BO"/>
        </w:rPr>
      </w:pPr>
      <w:r w:rsidRPr="004A7456">
        <w:rPr>
          <w:rFonts w:asciiTheme="majorHAnsi" w:hAnsiTheme="majorHAnsi" w:cs="Segoe Print"/>
          <w:b/>
          <w:sz w:val="18"/>
          <w:szCs w:val="18"/>
          <w:lang w:val="es-BO"/>
        </w:rPr>
        <w:t>OBRAS DE FIJACIÓN DE VÁLVULAS Y SEÑALIZACIÓN HORIZONTAL</w:t>
      </w:r>
    </w:p>
    <w:p w:rsidR="00985B75" w:rsidRPr="00EA72E3" w:rsidRDefault="00985B75" w:rsidP="00EA72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r w:rsidRPr="00EA72E3">
        <w:rPr>
          <w:rFonts w:asciiTheme="majorHAnsi" w:hAnsiTheme="majorHAnsi" w:cs="Segoe Print"/>
          <w:b/>
          <w:sz w:val="18"/>
          <w:szCs w:val="18"/>
          <w:lang w:val="es-BO"/>
        </w:rPr>
        <w:t>BASES DE HORMIGÓN PARA SEÑALIZACIÓN HORIZONTAL EN COBERTURAS DE EMPEDRADO Y TIERRA</w:t>
      </w:r>
    </w:p>
    <w:p w:rsidR="00985B75" w:rsidRPr="004A7456" w:rsidRDefault="00985B75" w:rsidP="00985B75">
      <w:pPr>
        <w:autoSpaceDE w:val="0"/>
        <w:autoSpaceDN w:val="0"/>
        <w:adjustRightInd w:val="0"/>
        <w:jc w:val="center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b/>
          <w:noProof/>
          <w:sz w:val="18"/>
          <w:szCs w:val="18"/>
        </w:rPr>
        <w:drawing>
          <wp:inline distT="0" distB="0" distL="0" distR="0" wp14:anchorId="747C194F" wp14:editId="57E3D499">
            <wp:extent cx="4097655" cy="2880995"/>
            <wp:effectExtent l="19050" t="19050" r="17145" b="14605"/>
            <wp:docPr id="25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655" cy="288099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autoSpaceDE w:val="0"/>
        <w:autoSpaceDN w:val="0"/>
        <w:adjustRightInd w:val="0"/>
        <w:jc w:val="right"/>
        <w:rPr>
          <w:rFonts w:asciiTheme="majorHAnsi" w:hAnsiTheme="majorHAnsi"/>
          <w:b/>
          <w:sz w:val="18"/>
          <w:szCs w:val="18"/>
        </w:rPr>
      </w:pPr>
    </w:p>
    <w:p w:rsidR="00985B75" w:rsidRPr="00EA72E3" w:rsidRDefault="00985B75" w:rsidP="00EA72E3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r w:rsidRPr="00EA72E3">
        <w:rPr>
          <w:rFonts w:asciiTheme="majorHAnsi" w:hAnsiTheme="majorHAnsi" w:cs="Segoe Print"/>
          <w:b/>
          <w:sz w:val="18"/>
          <w:szCs w:val="18"/>
          <w:lang w:val="es-BO"/>
        </w:rPr>
        <w:t xml:space="preserve">PLAQUETAS DE SEÑALIZACIÓN HORIZONTAL EN COBERTURAS DE  ACERAS DE HORMIGÓN </w:t>
      </w: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A5FD6CF" wp14:editId="29C0AC40">
            <wp:simplePos x="0" y="0"/>
            <wp:positionH relativeFrom="column">
              <wp:posOffset>752475</wp:posOffset>
            </wp:positionH>
            <wp:positionV relativeFrom="paragraph">
              <wp:posOffset>-3810</wp:posOffset>
            </wp:positionV>
            <wp:extent cx="4095750" cy="2276475"/>
            <wp:effectExtent l="19050" t="19050" r="19050" b="28575"/>
            <wp:wrapSquare wrapText="left"/>
            <wp:docPr id="5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2764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autoSpaceDE w:val="0"/>
        <w:autoSpaceDN w:val="0"/>
        <w:adjustRightInd w:val="0"/>
        <w:jc w:val="both"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4A7456" w:rsidRPr="004A7456" w:rsidRDefault="004A7456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4A7456" w:rsidRPr="004A7456" w:rsidRDefault="004A7456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4A7456" w:rsidRDefault="004A7456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1E41F4" w:rsidRDefault="001E41F4" w:rsidP="00985B75">
      <w:pPr>
        <w:pStyle w:val="Prrafodelista"/>
        <w:autoSpaceDE w:val="0"/>
        <w:autoSpaceDN w:val="0"/>
        <w:adjustRightInd w:val="0"/>
        <w:spacing w:line="276" w:lineRule="auto"/>
        <w:ind w:left="1800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bookmarkStart w:id="4" w:name="_GoBack"/>
      <w:bookmarkEnd w:id="4"/>
    </w:p>
    <w:bookmarkEnd w:id="0"/>
    <w:bookmarkEnd w:id="1"/>
    <w:bookmarkEnd w:id="2"/>
    <w:bookmarkEnd w:id="3"/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/>
          <w:b/>
          <w:sz w:val="18"/>
          <w:szCs w:val="18"/>
          <w:u w:val="single"/>
        </w:rPr>
      </w:pPr>
      <w:r w:rsidRPr="004A7456">
        <w:rPr>
          <w:rFonts w:asciiTheme="majorHAnsi" w:hAnsiTheme="majorHAnsi"/>
          <w:b/>
          <w:sz w:val="18"/>
          <w:szCs w:val="18"/>
          <w:u w:val="single"/>
        </w:rPr>
        <w:lastRenderedPageBreak/>
        <w:t>TRANSPORTE Y MANIPULACIÓN DE TUBERÍA</w:t>
      </w: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Theme="majorHAnsi" w:hAnsiTheme="majorHAnsi"/>
          <w:sz w:val="18"/>
          <w:szCs w:val="18"/>
          <w:u w:val="single"/>
        </w:rPr>
      </w:pP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jc w:val="center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eastAsia="Arial Unicode MS" w:hAnsiTheme="majorHAnsi"/>
          <w:b/>
          <w:noProof/>
          <w:sz w:val="18"/>
          <w:szCs w:val="18"/>
        </w:rPr>
        <w:drawing>
          <wp:inline distT="0" distB="0" distL="0" distR="0" wp14:anchorId="181CCDA4" wp14:editId="2409D928">
            <wp:extent cx="3533775" cy="3215942"/>
            <wp:effectExtent l="0" t="0" r="0" b="3810"/>
            <wp:docPr id="32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517" cy="322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Theme="majorHAnsi" w:hAnsiTheme="majorHAnsi" w:cs="Segoe Print"/>
          <w:sz w:val="18"/>
          <w:szCs w:val="18"/>
        </w:rPr>
      </w:pP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Theme="majorHAnsi" w:hAnsiTheme="majorHAnsi" w:cs="Segoe Print"/>
          <w:sz w:val="18"/>
          <w:szCs w:val="18"/>
        </w:rPr>
      </w:pPr>
    </w:p>
    <w:p w:rsidR="00985B75" w:rsidRPr="00EA72E3" w:rsidRDefault="00985B75" w:rsidP="00EA72E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contextualSpacing/>
        <w:rPr>
          <w:rFonts w:asciiTheme="majorHAnsi" w:hAnsiTheme="majorHAnsi" w:cs="Segoe Print"/>
          <w:b/>
          <w:sz w:val="18"/>
          <w:szCs w:val="18"/>
        </w:rPr>
      </w:pPr>
      <w:r w:rsidRPr="00EA72E3">
        <w:rPr>
          <w:rFonts w:asciiTheme="majorHAnsi" w:hAnsiTheme="majorHAnsi" w:cs="Segoe Print"/>
          <w:b/>
          <w:sz w:val="18"/>
          <w:szCs w:val="18"/>
        </w:rPr>
        <w:t>TRANSPORTE DE TUBERÍA</w:t>
      </w: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Theme="majorHAnsi" w:hAnsiTheme="majorHAnsi" w:cs="Segoe Print"/>
          <w:sz w:val="18"/>
          <w:szCs w:val="18"/>
        </w:rPr>
      </w:pP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jc w:val="center"/>
        <w:rPr>
          <w:rFonts w:asciiTheme="majorHAnsi" w:hAnsiTheme="majorHAnsi" w:cs="Segoe Print"/>
          <w:sz w:val="18"/>
          <w:szCs w:val="18"/>
        </w:rPr>
      </w:pPr>
      <w:r w:rsidRPr="004A7456">
        <w:rPr>
          <w:rFonts w:asciiTheme="majorHAnsi" w:hAnsiTheme="majorHAnsi" w:cs="Arial"/>
          <w:b/>
          <w:noProof/>
          <w:sz w:val="18"/>
          <w:szCs w:val="18"/>
        </w:rPr>
        <w:drawing>
          <wp:inline distT="0" distB="0" distL="0" distR="0" wp14:anchorId="28DC9F6F" wp14:editId="32DD3F3D">
            <wp:extent cx="6166200" cy="2428875"/>
            <wp:effectExtent l="19050" t="19050" r="25400" b="9525"/>
            <wp:docPr id="33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" r="16615" b="59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57" cy="2430749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jc w:val="center"/>
        <w:rPr>
          <w:rFonts w:asciiTheme="majorHAnsi" w:hAnsiTheme="majorHAnsi" w:cs="Segoe Print"/>
          <w:sz w:val="18"/>
          <w:szCs w:val="18"/>
        </w:rPr>
      </w:pPr>
    </w:p>
    <w:p w:rsidR="00EA72E3" w:rsidRDefault="00EA72E3" w:rsidP="00EA72E3">
      <w:pPr>
        <w:pStyle w:val="Prrafodelista"/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ind w:left="2160"/>
        <w:contextualSpacing/>
        <w:rPr>
          <w:rFonts w:asciiTheme="majorHAnsi" w:hAnsiTheme="majorHAnsi" w:cs="Segoe Print"/>
          <w:b/>
          <w:sz w:val="18"/>
          <w:szCs w:val="18"/>
        </w:rPr>
      </w:pPr>
    </w:p>
    <w:p w:rsidR="003A4B28" w:rsidRDefault="003A4B28" w:rsidP="00EA72E3">
      <w:pPr>
        <w:pStyle w:val="Prrafodelista"/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ind w:left="2160"/>
        <w:contextualSpacing/>
        <w:rPr>
          <w:rFonts w:asciiTheme="majorHAnsi" w:hAnsiTheme="majorHAnsi" w:cs="Segoe Print"/>
          <w:b/>
          <w:sz w:val="18"/>
          <w:szCs w:val="18"/>
        </w:rPr>
      </w:pPr>
    </w:p>
    <w:p w:rsidR="00EA72E3" w:rsidRDefault="00EA72E3" w:rsidP="00EA72E3">
      <w:pPr>
        <w:pStyle w:val="Prrafodelista"/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ind w:left="2160"/>
        <w:contextualSpacing/>
        <w:rPr>
          <w:rFonts w:asciiTheme="majorHAnsi" w:hAnsiTheme="majorHAnsi" w:cs="Segoe Print"/>
          <w:b/>
          <w:sz w:val="18"/>
          <w:szCs w:val="18"/>
        </w:rPr>
      </w:pPr>
    </w:p>
    <w:p w:rsidR="00EA72E3" w:rsidRDefault="00EA72E3" w:rsidP="00EA72E3">
      <w:pPr>
        <w:pStyle w:val="Prrafodelista"/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ind w:left="2160"/>
        <w:contextualSpacing/>
        <w:rPr>
          <w:rFonts w:asciiTheme="majorHAnsi" w:hAnsiTheme="majorHAnsi" w:cs="Segoe Print"/>
          <w:b/>
          <w:sz w:val="18"/>
          <w:szCs w:val="18"/>
        </w:rPr>
      </w:pPr>
    </w:p>
    <w:p w:rsidR="00985B75" w:rsidRPr="00EA72E3" w:rsidRDefault="00985B75" w:rsidP="00EA72E3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contextualSpacing/>
        <w:rPr>
          <w:rFonts w:asciiTheme="majorHAnsi" w:hAnsiTheme="majorHAnsi" w:cs="Segoe Print"/>
          <w:b/>
          <w:sz w:val="18"/>
          <w:szCs w:val="18"/>
        </w:rPr>
      </w:pPr>
      <w:r w:rsidRPr="00EA72E3">
        <w:rPr>
          <w:rFonts w:asciiTheme="majorHAnsi" w:hAnsiTheme="majorHAnsi" w:cs="Segoe Print"/>
          <w:b/>
          <w:sz w:val="18"/>
          <w:szCs w:val="18"/>
        </w:rPr>
        <w:t>ALMACENAJE DE TUBERÍA</w:t>
      </w: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jc w:val="center"/>
        <w:rPr>
          <w:rFonts w:asciiTheme="majorHAnsi" w:hAnsiTheme="majorHAnsi" w:cs="Segoe Print"/>
          <w:sz w:val="18"/>
          <w:szCs w:val="18"/>
        </w:rPr>
      </w:pPr>
      <w:r w:rsidRPr="004A7456">
        <w:rPr>
          <w:rFonts w:asciiTheme="majorHAnsi" w:hAnsiTheme="majorHAnsi" w:cs="Arial"/>
          <w:b/>
          <w:noProof/>
          <w:sz w:val="18"/>
          <w:szCs w:val="18"/>
        </w:rPr>
        <w:drawing>
          <wp:inline distT="0" distB="0" distL="0" distR="0" wp14:anchorId="6CCFDFCC" wp14:editId="7DC990BD">
            <wp:extent cx="5354804" cy="2505075"/>
            <wp:effectExtent l="19050" t="19050" r="17780" b="9525"/>
            <wp:docPr id="34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" t="49789" r="1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93" cy="2508157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Theme="majorHAnsi" w:hAnsiTheme="majorHAnsi" w:cs="Segoe Print"/>
          <w:sz w:val="18"/>
          <w:szCs w:val="18"/>
        </w:rPr>
      </w:pPr>
    </w:p>
    <w:p w:rsidR="00985B75" w:rsidRPr="004A7456" w:rsidRDefault="00985B75" w:rsidP="00985B75">
      <w:pPr>
        <w:pStyle w:val="Prrafodelista"/>
        <w:numPr>
          <w:ilvl w:val="0"/>
          <w:numId w:val="5"/>
        </w:numPr>
        <w:tabs>
          <w:tab w:val="left" w:pos="384"/>
        </w:tabs>
        <w:spacing w:line="276" w:lineRule="auto"/>
        <w:contextualSpacing/>
        <w:jc w:val="both"/>
        <w:rPr>
          <w:rFonts w:asciiTheme="majorHAnsi" w:hAnsiTheme="majorHAnsi" w:cs="Segoe Print"/>
          <w:b/>
          <w:sz w:val="18"/>
          <w:szCs w:val="18"/>
          <w:lang w:val="es-BO"/>
        </w:rPr>
      </w:pPr>
      <w:r w:rsidRPr="004A7456">
        <w:rPr>
          <w:rFonts w:asciiTheme="majorHAnsi" w:hAnsiTheme="majorHAnsi" w:cs="Segoe Print"/>
          <w:b/>
          <w:sz w:val="18"/>
          <w:szCs w:val="18"/>
          <w:lang w:val="es-BO"/>
        </w:rPr>
        <w:t xml:space="preserve">REPOSICIONES EN ACERA Y CALZADA </w:t>
      </w:r>
    </w:p>
    <w:p w:rsidR="00985B75" w:rsidRPr="004A7456" w:rsidRDefault="00985B75" w:rsidP="00985B75">
      <w:pPr>
        <w:pStyle w:val="Prrafodelista"/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Theme="majorHAnsi" w:hAnsiTheme="majorHAnsi" w:cs="Segoe Print"/>
          <w:b/>
          <w:sz w:val="18"/>
          <w:szCs w:val="18"/>
          <w:lang w:val="es-BO"/>
        </w:rPr>
      </w:pPr>
    </w:p>
    <w:p w:rsidR="00985B75" w:rsidRPr="004A7456" w:rsidRDefault="00985B75" w:rsidP="00985B7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rPr>
          <w:rFonts w:asciiTheme="majorHAnsi" w:hAnsiTheme="majorHAnsi" w:cs="Segoe Print"/>
          <w:sz w:val="18"/>
          <w:szCs w:val="18"/>
        </w:rPr>
      </w:pPr>
    </w:p>
    <w:p w:rsidR="00985B75" w:rsidRPr="00EA72E3" w:rsidRDefault="00985B75" w:rsidP="00EA72E3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  <w:r w:rsidRPr="00EA72E3">
        <w:rPr>
          <w:rFonts w:asciiTheme="majorHAnsi" w:hAnsiTheme="majorHAnsi"/>
          <w:b/>
          <w:sz w:val="18"/>
          <w:szCs w:val="18"/>
        </w:rPr>
        <w:t>ACERAS DE HORMIGÓN.</w:t>
      </w: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spacing w:after="160" w:line="259" w:lineRule="auto"/>
        <w:contextualSpacing/>
        <w:jc w:val="center"/>
        <w:rPr>
          <w:rFonts w:asciiTheme="majorHAnsi" w:hAnsiTheme="majorHAnsi"/>
          <w:b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 wp14:anchorId="38C297C6" wp14:editId="1C455D2D">
            <wp:extent cx="3510264" cy="3067050"/>
            <wp:effectExtent l="19050" t="19050" r="14605" b="19050"/>
            <wp:docPr id="35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5" t="13163" r="38613" b="33420"/>
                    <a:stretch/>
                  </pic:blipFill>
                  <pic:spPr bwMode="auto">
                    <a:xfrm>
                      <a:off x="0" y="0"/>
                      <a:ext cx="3549181" cy="31010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eastAsia="Arial Unicode MS" w:hAnsiTheme="majorHAnsi"/>
          <w:sz w:val="18"/>
          <w:szCs w:val="18"/>
        </w:rPr>
      </w:pPr>
      <w:r w:rsidRPr="004A7456">
        <w:rPr>
          <w:rFonts w:asciiTheme="majorHAnsi" w:eastAsia="Arial Unicode MS" w:hAnsiTheme="majorHAnsi"/>
          <w:noProof/>
          <w:sz w:val="18"/>
          <w:szCs w:val="18"/>
        </w:rPr>
        <w:lastRenderedPageBreak/>
        <w:drawing>
          <wp:inline distT="0" distB="0" distL="0" distR="0" wp14:anchorId="2C143D73" wp14:editId="1F861DCD">
            <wp:extent cx="3648710" cy="1664970"/>
            <wp:effectExtent l="0" t="0" r="8890" b="0"/>
            <wp:docPr id="36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71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 wp14:anchorId="7731FDB6" wp14:editId="53DF30D1">
            <wp:extent cx="3735070" cy="1691005"/>
            <wp:effectExtent l="0" t="0" r="0" b="4445"/>
            <wp:docPr id="37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rPr>
          <w:rFonts w:asciiTheme="majorHAnsi" w:hAnsiTheme="majorHAnsi"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 wp14:anchorId="3460ABF3" wp14:editId="7BB163F0">
            <wp:extent cx="4899660" cy="2268855"/>
            <wp:effectExtent l="0" t="0" r="0" b="0"/>
            <wp:docPr id="38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Default="00985B75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EA72E3" w:rsidRDefault="00EA72E3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</w:p>
    <w:p w:rsidR="00985B75" w:rsidRPr="00EA72E3" w:rsidRDefault="00985B75" w:rsidP="00EA72E3">
      <w:pPr>
        <w:spacing w:after="160" w:line="259" w:lineRule="auto"/>
        <w:contextualSpacing/>
        <w:rPr>
          <w:rFonts w:asciiTheme="majorHAnsi" w:hAnsiTheme="majorHAnsi"/>
          <w:b/>
          <w:sz w:val="18"/>
          <w:szCs w:val="18"/>
        </w:rPr>
      </w:pPr>
      <w:r w:rsidRPr="00EA72E3">
        <w:rPr>
          <w:rFonts w:asciiTheme="majorHAnsi" w:hAnsiTheme="majorHAnsi"/>
          <w:b/>
          <w:sz w:val="18"/>
          <w:szCs w:val="18"/>
        </w:rPr>
        <w:t>REPOSICIONES DE PAVIMENTOS (FLEXIBLES Y RÍGIDOS).</w:t>
      </w: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 wp14:anchorId="5F53E625" wp14:editId="30B1124D">
            <wp:extent cx="3243580" cy="1776730"/>
            <wp:effectExtent l="0" t="0" r="0" b="0"/>
            <wp:docPr id="39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 wp14:anchorId="1417ED4A" wp14:editId="74F6F723">
            <wp:extent cx="3700780" cy="1992630"/>
            <wp:effectExtent l="0" t="0" r="0" b="7620"/>
            <wp:docPr id="40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78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jc w:val="center"/>
        <w:rPr>
          <w:rFonts w:asciiTheme="majorHAnsi" w:hAnsiTheme="majorHAnsi"/>
          <w:sz w:val="18"/>
          <w:szCs w:val="18"/>
        </w:rPr>
      </w:pPr>
      <w:r w:rsidRPr="004A7456">
        <w:rPr>
          <w:rFonts w:asciiTheme="majorHAnsi" w:hAnsiTheme="majorHAnsi"/>
          <w:noProof/>
          <w:sz w:val="18"/>
          <w:szCs w:val="18"/>
        </w:rPr>
        <w:drawing>
          <wp:inline distT="0" distB="0" distL="0" distR="0" wp14:anchorId="4173EFF4" wp14:editId="17C92F65">
            <wp:extent cx="4028440" cy="2105025"/>
            <wp:effectExtent l="0" t="0" r="0" b="9525"/>
            <wp:docPr id="41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B75" w:rsidRPr="004A7456" w:rsidRDefault="00985B75" w:rsidP="00985B75">
      <w:pPr>
        <w:rPr>
          <w:rFonts w:asciiTheme="majorHAnsi" w:hAnsiTheme="majorHAnsi"/>
          <w:sz w:val="18"/>
          <w:szCs w:val="18"/>
        </w:rPr>
      </w:pPr>
    </w:p>
    <w:p w:rsidR="00985B75" w:rsidRPr="004A7456" w:rsidRDefault="00985B75" w:rsidP="00985B75">
      <w:pPr>
        <w:rPr>
          <w:rFonts w:asciiTheme="majorHAnsi" w:hAnsiTheme="majorHAnsi"/>
          <w:sz w:val="18"/>
          <w:szCs w:val="18"/>
        </w:rPr>
      </w:pPr>
    </w:p>
    <w:sectPr w:rsidR="00985B75" w:rsidRPr="004A7456">
      <w:headerReference w:type="default" r:id="rId24"/>
      <w:foot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4B" w:rsidRDefault="009C204B" w:rsidP="00E92156">
      <w:r>
        <w:separator/>
      </w:r>
    </w:p>
  </w:endnote>
  <w:endnote w:type="continuationSeparator" w:id="0">
    <w:p w:rsidR="009C204B" w:rsidRDefault="009C204B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931" w:type="dxa"/>
      <w:tblInd w:w="-5" w:type="dxa"/>
      <w:tblLayout w:type="fixed"/>
      <w:tblLook w:val="04A0" w:firstRow="1" w:lastRow="0" w:firstColumn="1" w:lastColumn="0" w:noHBand="0" w:noVBand="1"/>
    </w:tblPr>
    <w:tblGrid>
      <w:gridCol w:w="4395"/>
      <w:gridCol w:w="4536"/>
    </w:tblGrid>
    <w:tr w:rsidR="001D39CF" w:rsidRPr="000810BB" w:rsidTr="001D39CF">
      <w:trPr>
        <w:trHeight w:val="81"/>
      </w:trPr>
      <w:tc>
        <w:tcPr>
          <w:tcW w:w="4395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4536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1D39CF" w:rsidRPr="000810BB" w:rsidTr="001D39CF">
      <w:trPr>
        <w:trHeight w:val="638"/>
      </w:trPr>
      <w:tc>
        <w:tcPr>
          <w:tcW w:w="4395" w:type="dxa"/>
        </w:tcPr>
        <w:p w:rsidR="001D39CF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D39CF" w:rsidRPr="000810BB" w:rsidRDefault="001D39CF" w:rsidP="001D39C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4536" w:type="dxa"/>
        </w:tcPr>
        <w:p w:rsidR="001D39CF" w:rsidRPr="000810BB" w:rsidRDefault="001D39CF" w:rsidP="001D39CF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1D39CF" w:rsidRDefault="001D39CF" w:rsidP="001D39CF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1D39CF" w:rsidRPr="000810BB" w:rsidRDefault="001D39CF" w:rsidP="001D39C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1D39CF" w:rsidRPr="000810BB" w:rsidTr="001D39CF">
      <w:trPr>
        <w:trHeight w:val="629"/>
      </w:trPr>
      <w:tc>
        <w:tcPr>
          <w:tcW w:w="4395" w:type="dxa"/>
          <w:vAlign w:val="center"/>
        </w:tcPr>
        <w:p w:rsidR="001D39CF" w:rsidRPr="00A97A89" w:rsidRDefault="001D39CF" w:rsidP="001D39CF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Franco Edir Cayoja Huayta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Supervisor de</w:t>
          </w:r>
          <w:r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 xml:space="preserve"> Redes Secundarias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Unidad Distrital de Operación y Mantenimiento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1D39CF" w:rsidRPr="00D2648D" w:rsidRDefault="001D39CF" w:rsidP="001D39CF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  <w:tc>
        <w:tcPr>
          <w:tcW w:w="4536" w:type="dxa"/>
          <w:vAlign w:val="center"/>
        </w:tcPr>
        <w:p w:rsidR="001D39CF" w:rsidRPr="00A97A89" w:rsidRDefault="001D39CF" w:rsidP="001D39CF">
          <w:pPr>
            <w:jc w:val="center"/>
            <w:rPr>
              <w:rFonts w:ascii="Forte" w:hAnsi="Forte" w:cs="Arial"/>
              <w:color w:val="365F91"/>
              <w:sz w:val="18"/>
              <w:szCs w:val="20"/>
              <w:lang w:eastAsia="es-BO"/>
            </w:rPr>
          </w:pPr>
          <w:r w:rsidRPr="00A97A89">
            <w:rPr>
              <w:rFonts w:ascii="Forte" w:hAnsi="Forte" w:cs="Arial"/>
              <w:color w:val="365F91"/>
              <w:sz w:val="18"/>
              <w:szCs w:val="20"/>
              <w:lang w:eastAsia="es-BO"/>
            </w:rPr>
            <w:t>Ing. Raúl Augusto Aliaga Téllez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Jefe Unidad Distrital de Operación y Mantenimiento</w:t>
          </w:r>
        </w:p>
        <w:p w:rsidR="001D39CF" w:rsidRPr="00A97A89" w:rsidRDefault="001D39CF" w:rsidP="001D39CF">
          <w:pPr>
            <w:jc w:val="center"/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</w:pPr>
          <w:r w:rsidRPr="00A97A8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Distrito Redes de Gas Oruro</w:t>
          </w:r>
        </w:p>
        <w:p w:rsidR="001D39CF" w:rsidRPr="00D2648D" w:rsidRDefault="001D39CF" w:rsidP="001D39CF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E47669">
            <w:rPr>
              <w:rFonts w:ascii="Arial" w:hAnsi="Arial" w:cs="Arial"/>
              <w:b/>
              <w:color w:val="365F91"/>
              <w:sz w:val="10"/>
              <w:szCs w:val="14"/>
              <w:lang w:eastAsia="es-BO"/>
            </w:rPr>
            <w:t>GNRGD – Y.P.F.B</w:t>
          </w:r>
        </w:p>
      </w:tc>
    </w:tr>
  </w:tbl>
  <w:p w:rsidR="00184296" w:rsidRDefault="001842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4B" w:rsidRDefault="009C204B" w:rsidP="00E92156">
      <w:r>
        <w:separator/>
      </w:r>
    </w:p>
  </w:footnote>
  <w:footnote w:type="continuationSeparator" w:id="0">
    <w:p w:rsidR="009C204B" w:rsidRDefault="009C204B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3475" cy="53340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96" cy="536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D39CF" w:rsidRPr="001D39CF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 DISTRITO DE REDES DE GAS ORURO</w:t>
          </w:r>
        </w:p>
        <w:p w:rsidR="00E92156" w:rsidRPr="0076024C" w:rsidRDefault="001D39CF" w:rsidP="001D39C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 ORURO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4A74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4A7456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1D39CF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1D39CF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OBRAS CIVILES PARA PROFUNDIZACION Y VARIANTES DE RED SECUNDARIA Y ACOMETIDAS (FASE I)  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41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E41F4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25CF25D4"/>
    <w:multiLevelType w:val="multilevel"/>
    <w:tmpl w:val="C1BE34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2E65188D"/>
    <w:multiLevelType w:val="multilevel"/>
    <w:tmpl w:val="60D8AE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65943A7"/>
    <w:multiLevelType w:val="hybridMultilevel"/>
    <w:tmpl w:val="8FD45F88"/>
    <w:lvl w:ilvl="0" w:tplc="69D8E5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2604F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3791889"/>
    <w:multiLevelType w:val="multilevel"/>
    <w:tmpl w:val="074E7C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6">
    <w:nsid w:val="6CCF22CA"/>
    <w:multiLevelType w:val="multilevel"/>
    <w:tmpl w:val="90E650D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322C8"/>
    <w:rsid w:val="000348D0"/>
    <w:rsid w:val="000C5898"/>
    <w:rsid w:val="00121233"/>
    <w:rsid w:val="00184296"/>
    <w:rsid w:val="001D39CF"/>
    <w:rsid w:val="001E41F4"/>
    <w:rsid w:val="003A4B28"/>
    <w:rsid w:val="003E2753"/>
    <w:rsid w:val="003E6F3A"/>
    <w:rsid w:val="004A7456"/>
    <w:rsid w:val="00571927"/>
    <w:rsid w:val="00587334"/>
    <w:rsid w:val="007C38E7"/>
    <w:rsid w:val="00985B75"/>
    <w:rsid w:val="009C204B"/>
    <w:rsid w:val="00A61ECD"/>
    <w:rsid w:val="00D23AED"/>
    <w:rsid w:val="00D24C3F"/>
    <w:rsid w:val="00E92156"/>
    <w:rsid w:val="00E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A61ECD"/>
    <w:pPr>
      <w:keepNext/>
      <w:keepLines/>
      <w:numPr>
        <w:numId w:val="8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A61ECD"/>
    <w:pPr>
      <w:keepNext/>
      <w:keepLines/>
      <w:numPr>
        <w:ilvl w:val="1"/>
        <w:numId w:val="8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A61ECD"/>
    <w:pPr>
      <w:keepNext/>
      <w:keepLines/>
      <w:numPr>
        <w:ilvl w:val="2"/>
        <w:numId w:val="8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1ECD"/>
    <w:pPr>
      <w:keepNext/>
      <w:keepLines/>
      <w:numPr>
        <w:ilvl w:val="3"/>
        <w:numId w:val="8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1ECD"/>
    <w:pPr>
      <w:keepNext/>
      <w:keepLines/>
      <w:numPr>
        <w:ilvl w:val="4"/>
        <w:numId w:val="8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ECD"/>
    <w:pPr>
      <w:keepNext/>
      <w:keepLines/>
      <w:numPr>
        <w:ilvl w:val="5"/>
        <w:numId w:val="8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ECD"/>
    <w:pPr>
      <w:keepNext/>
      <w:keepLines/>
      <w:numPr>
        <w:ilvl w:val="6"/>
        <w:numId w:val="8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ECD"/>
    <w:pPr>
      <w:keepNext/>
      <w:keepLines/>
      <w:numPr>
        <w:ilvl w:val="7"/>
        <w:numId w:val="8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ECD"/>
    <w:pPr>
      <w:keepNext/>
      <w:keepLines/>
      <w:numPr>
        <w:ilvl w:val="8"/>
        <w:numId w:val="8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A61E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A61E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A61EC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A61EC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A61E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E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E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E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3A4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Franco Edir Cayoja Huayta</cp:lastModifiedBy>
  <cp:revision>2</cp:revision>
  <dcterms:created xsi:type="dcterms:W3CDTF">2016-04-07T15:15:00Z</dcterms:created>
  <dcterms:modified xsi:type="dcterms:W3CDTF">2016-04-07T15:15:00Z</dcterms:modified>
</cp:coreProperties>
</file>