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773" w:rsidRPr="008710E5" w:rsidRDefault="000B5773" w:rsidP="000B5773">
      <w:pPr>
        <w:spacing w:line="276" w:lineRule="auto"/>
        <w:ind w:firstLine="360"/>
        <w:jc w:val="center"/>
        <w:rPr>
          <w:rFonts w:asciiTheme="majorHAnsi" w:hAnsiTheme="majorHAnsi" w:cs="Arial"/>
          <w:b/>
          <w:sz w:val="20"/>
          <w:szCs w:val="18"/>
        </w:rPr>
      </w:pPr>
      <w:r w:rsidRPr="008710E5">
        <w:rPr>
          <w:rFonts w:asciiTheme="majorHAnsi" w:hAnsiTheme="majorHAnsi"/>
          <w:b/>
          <w:sz w:val="48"/>
          <w:szCs w:val="56"/>
        </w:rPr>
        <w:t>MANUAL DE GESTIÓN AMBIENTAL</w:t>
      </w:r>
    </w:p>
    <w:p w:rsidR="000B5773" w:rsidRPr="008710E5" w:rsidRDefault="000B5773" w:rsidP="000B5773">
      <w:pPr>
        <w:spacing w:line="276" w:lineRule="auto"/>
        <w:ind w:firstLine="360"/>
        <w:jc w:val="center"/>
        <w:rPr>
          <w:rFonts w:asciiTheme="majorHAnsi" w:hAnsiTheme="majorHAnsi" w:cs="Arial"/>
          <w:b/>
          <w:sz w:val="20"/>
          <w:szCs w:val="18"/>
        </w:rPr>
      </w:pPr>
      <w:r w:rsidRPr="008710E5">
        <w:rPr>
          <w:rFonts w:asciiTheme="majorHAnsi" w:hAnsiTheme="majorHAnsi" w:cs="Arial"/>
          <w:b/>
          <w:sz w:val="20"/>
          <w:szCs w:val="18"/>
        </w:rPr>
        <w:t>INDICE</w:t>
      </w:r>
    </w:p>
    <w:p w:rsidR="000B5773" w:rsidRPr="008710E5" w:rsidRDefault="000B5773" w:rsidP="000B5773">
      <w:pPr>
        <w:spacing w:line="276" w:lineRule="auto"/>
        <w:ind w:firstLine="360"/>
        <w:jc w:val="center"/>
        <w:rPr>
          <w:rFonts w:asciiTheme="majorHAnsi" w:hAnsiTheme="majorHAnsi" w:cs="Arial"/>
          <w:b/>
          <w:sz w:val="20"/>
          <w:szCs w:val="18"/>
        </w:rPr>
      </w:pPr>
    </w:p>
    <w:p w:rsidR="000B5773" w:rsidRPr="008710E5" w:rsidRDefault="000B5773" w:rsidP="000B5773">
      <w:pPr>
        <w:spacing w:line="276" w:lineRule="auto"/>
        <w:jc w:val="both"/>
        <w:rPr>
          <w:rFonts w:asciiTheme="majorHAnsi" w:hAnsiTheme="majorHAnsi" w:cs="Calibri"/>
          <w:b/>
          <w:sz w:val="20"/>
          <w:szCs w:val="18"/>
        </w:rPr>
      </w:pP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1.</w:t>
      </w:r>
      <w:r w:rsidRPr="008710E5">
        <w:rPr>
          <w:rFonts w:asciiTheme="majorHAnsi" w:hAnsiTheme="majorHAnsi"/>
          <w:b/>
          <w:sz w:val="20"/>
          <w:szCs w:val="18"/>
        </w:rPr>
        <w:tab/>
        <w:t>Introducción</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2.</w:t>
      </w:r>
      <w:r w:rsidRPr="008710E5">
        <w:rPr>
          <w:rFonts w:asciiTheme="majorHAnsi" w:hAnsiTheme="majorHAnsi"/>
          <w:b/>
          <w:sz w:val="20"/>
          <w:szCs w:val="18"/>
        </w:rPr>
        <w:tab/>
        <w:t>Objetivo del Manual</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3.</w:t>
      </w:r>
      <w:r w:rsidRPr="008710E5">
        <w:rPr>
          <w:rFonts w:asciiTheme="majorHAnsi" w:hAnsiTheme="majorHAnsi"/>
          <w:b/>
          <w:sz w:val="20"/>
          <w:szCs w:val="18"/>
        </w:rPr>
        <w:tab/>
        <w:t>Alcance del Manual</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w:t>
      </w:r>
      <w:r w:rsidRPr="008710E5">
        <w:rPr>
          <w:rFonts w:asciiTheme="majorHAnsi" w:hAnsiTheme="majorHAnsi"/>
          <w:b/>
          <w:sz w:val="20"/>
          <w:szCs w:val="18"/>
        </w:rPr>
        <w:tab/>
        <w:t>Redes Secundarias (Obras Civiles)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4.1.</w:t>
      </w:r>
      <w:r w:rsidRPr="008710E5">
        <w:rPr>
          <w:rFonts w:asciiTheme="majorHAnsi" w:hAnsiTheme="majorHAnsi"/>
          <w:b/>
          <w:sz w:val="20"/>
          <w:szCs w:val="18"/>
        </w:rPr>
        <w:tab/>
        <w:t>Consideraciones en Replanteo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4.2.</w:t>
      </w:r>
      <w:r w:rsidRPr="008710E5">
        <w:rPr>
          <w:rFonts w:asciiTheme="majorHAnsi" w:hAnsiTheme="majorHAnsi"/>
          <w:b/>
          <w:sz w:val="20"/>
          <w:szCs w:val="18"/>
        </w:rPr>
        <w:tab/>
        <w:t>Gestión de Residuos Sólidos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4.3.</w:t>
      </w:r>
      <w:r w:rsidRPr="008710E5">
        <w:rPr>
          <w:rFonts w:asciiTheme="majorHAnsi" w:hAnsiTheme="majorHAnsi"/>
          <w:b/>
          <w:sz w:val="20"/>
          <w:szCs w:val="18"/>
        </w:rPr>
        <w:tab/>
        <w:t>Control de Calidad de Aire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4.4.</w:t>
      </w:r>
      <w:r w:rsidRPr="008710E5">
        <w:rPr>
          <w:rFonts w:asciiTheme="majorHAnsi" w:hAnsiTheme="majorHAnsi"/>
          <w:b/>
          <w:sz w:val="20"/>
          <w:szCs w:val="18"/>
        </w:rPr>
        <w:tab/>
        <w:t>Abandono y Restauración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4.5.</w:t>
      </w:r>
      <w:r w:rsidRPr="008710E5">
        <w:rPr>
          <w:rFonts w:asciiTheme="majorHAnsi" w:hAnsiTheme="majorHAnsi"/>
          <w:b/>
          <w:sz w:val="20"/>
          <w:szCs w:val="18"/>
        </w:rPr>
        <w:tab/>
        <w:t>Generación de Registros y presentación de formularios (R.S.)</w:t>
      </w:r>
      <w:r w:rsidRPr="008710E5">
        <w:rPr>
          <w:rFonts w:asciiTheme="majorHAnsi" w:hAnsiTheme="majorHAnsi"/>
          <w:b/>
          <w:sz w:val="20"/>
          <w:szCs w:val="18"/>
        </w:rPr>
        <w:tab/>
      </w:r>
    </w:p>
    <w:p w:rsidR="000B5773" w:rsidRPr="008710E5" w:rsidRDefault="000B5773" w:rsidP="000B5773">
      <w:pPr>
        <w:ind w:left="705" w:hanging="705"/>
        <w:rPr>
          <w:rFonts w:asciiTheme="majorHAnsi" w:hAnsiTheme="majorHAnsi"/>
          <w:b/>
          <w:sz w:val="20"/>
          <w:szCs w:val="18"/>
        </w:rPr>
      </w:pPr>
      <w:r w:rsidRPr="008710E5">
        <w:rPr>
          <w:rFonts w:asciiTheme="majorHAnsi" w:hAnsiTheme="majorHAnsi"/>
          <w:b/>
          <w:sz w:val="20"/>
          <w:szCs w:val="18"/>
        </w:rPr>
        <w:t>4.6.</w:t>
      </w:r>
      <w:r w:rsidRPr="008710E5">
        <w:rPr>
          <w:rFonts w:asciiTheme="majorHAnsi" w:hAnsiTheme="majorHAnsi"/>
          <w:b/>
          <w:sz w:val="20"/>
          <w:szCs w:val="18"/>
        </w:rPr>
        <w:tab/>
        <w:t>FORMULARIO DE CONFORMIDAD DE GESTION AMBIENTAL EN OBRAS CIVILES RED SECUNDARIA</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w:t>
      </w:r>
      <w:r w:rsidRPr="008710E5">
        <w:rPr>
          <w:rFonts w:asciiTheme="majorHAnsi" w:hAnsiTheme="majorHAnsi"/>
          <w:b/>
          <w:sz w:val="20"/>
          <w:szCs w:val="18"/>
        </w:rPr>
        <w:tab/>
        <w:t>Redes Secundarias (Obras Mecánicas)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5.1.</w:t>
      </w:r>
      <w:r w:rsidRPr="008710E5">
        <w:rPr>
          <w:rFonts w:asciiTheme="majorHAnsi" w:hAnsiTheme="majorHAnsi"/>
          <w:b/>
          <w:sz w:val="20"/>
          <w:szCs w:val="18"/>
        </w:rPr>
        <w:tab/>
        <w:t>Gestión de Residuos Sólidos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5.2.</w:t>
      </w:r>
      <w:r w:rsidRPr="008710E5">
        <w:rPr>
          <w:rFonts w:asciiTheme="majorHAnsi" w:hAnsiTheme="majorHAnsi"/>
          <w:b/>
          <w:sz w:val="20"/>
          <w:szCs w:val="18"/>
        </w:rPr>
        <w:tab/>
        <w:t>Control de Calidad de Aire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5.3.</w:t>
      </w:r>
      <w:r w:rsidRPr="008710E5">
        <w:rPr>
          <w:rFonts w:asciiTheme="majorHAnsi" w:hAnsiTheme="majorHAnsi"/>
          <w:b/>
          <w:sz w:val="20"/>
          <w:szCs w:val="18"/>
        </w:rPr>
        <w:tab/>
        <w:t>Abandono y Restauración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5.4.</w:t>
      </w:r>
      <w:r w:rsidRPr="008710E5">
        <w:rPr>
          <w:rFonts w:asciiTheme="majorHAnsi" w:hAnsiTheme="majorHAnsi"/>
          <w:b/>
          <w:sz w:val="20"/>
          <w:szCs w:val="18"/>
        </w:rPr>
        <w:tab/>
        <w:t>Generación de Registros y presentación de formularios (R.S.)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w:t>
      </w:r>
      <w:r w:rsidRPr="008710E5">
        <w:rPr>
          <w:rFonts w:asciiTheme="majorHAnsi" w:hAnsiTheme="majorHAnsi"/>
          <w:b/>
          <w:sz w:val="20"/>
          <w:szCs w:val="18"/>
        </w:rPr>
        <w:tab/>
        <w:t>Gestión Ambiental en Campamentos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6.1.</w:t>
      </w:r>
      <w:r w:rsidRPr="008710E5">
        <w:rPr>
          <w:rFonts w:asciiTheme="majorHAnsi" w:hAnsiTheme="majorHAnsi"/>
          <w:b/>
          <w:sz w:val="20"/>
          <w:szCs w:val="18"/>
        </w:rPr>
        <w:tab/>
        <w:t>Condiciones para Ubicación</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6.2.</w:t>
      </w:r>
      <w:r w:rsidRPr="008710E5">
        <w:rPr>
          <w:rFonts w:asciiTheme="majorHAnsi" w:hAnsiTheme="majorHAnsi"/>
          <w:b/>
          <w:sz w:val="20"/>
          <w:szCs w:val="18"/>
        </w:rPr>
        <w:tab/>
        <w:t>Gestión de Residuos Sólidos en Campamentos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6.3.</w:t>
      </w:r>
      <w:r w:rsidRPr="008710E5">
        <w:rPr>
          <w:rFonts w:asciiTheme="majorHAnsi" w:hAnsiTheme="majorHAnsi"/>
          <w:b/>
          <w:sz w:val="20"/>
          <w:szCs w:val="18"/>
        </w:rPr>
        <w:tab/>
        <w:t>Gestión de Descargas hídricas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6.4.</w:t>
      </w:r>
      <w:r w:rsidRPr="008710E5">
        <w:rPr>
          <w:rFonts w:asciiTheme="majorHAnsi" w:hAnsiTheme="majorHAnsi"/>
          <w:b/>
          <w:sz w:val="20"/>
          <w:szCs w:val="18"/>
        </w:rPr>
        <w:tab/>
        <w:t>Almacenamiento de combustibles</w:t>
      </w:r>
      <w:r w:rsidRPr="008710E5">
        <w:rPr>
          <w:rFonts w:asciiTheme="majorHAnsi" w:hAnsiTheme="majorHAnsi"/>
          <w:b/>
          <w:sz w:val="20"/>
          <w:szCs w:val="18"/>
        </w:rPr>
        <w:tab/>
      </w:r>
    </w:p>
    <w:p w:rsidR="000B5773" w:rsidRPr="008710E5" w:rsidRDefault="000B5773" w:rsidP="000B5773">
      <w:pPr>
        <w:rPr>
          <w:rFonts w:asciiTheme="majorHAnsi" w:hAnsiTheme="majorHAnsi"/>
          <w:b/>
          <w:sz w:val="20"/>
          <w:szCs w:val="18"/>
        </w:rPr>
      </w:pPr>
      <w:r w:rsidRPr="008710E5">
        <w:rPr>
          <w:rFonts w:asciiTheme="majorHAnsi" w:hAnsiTheme="majorHAnsi"/>
          <w:b/>
          <w:sz w:val="20"/>
          <w:szCs w:val="18"/>
        </w:rPr>
        <w:t>6.5.</w:t>
      </w:r>
      <w:r w:rsidRPr="008710E5">
        <w:rPr>
          <w:rFonts w:asciiTheme="majorHAnsi" w:hAnsiTheme="majorHAnsi"/>
          <w:b/>
          <w:sz w:val="20"/>
          <w:szCs w:val="18"/>
        </w:rPr>
        <w:tab/>
        <w:t>Generación de Registros</w:t>
      </w:r>
    </w:p>
    <w:p w:rsidR="000B5773" w:rsidRPr="008710E5" w:rsidRDefault="000B5773" w:rsidP="000B5773">
      <w:pPr>
        <w:ind w:left="705" w:hanging="705"/>
        <w:rPr>
          <w:rFonts w:asciiTheme="majorHAnsi" w:hAnsiTheme="majorHAnsi"/>
          <w:b/>
          <w:sz w:val="20"/>
          <w:szCs w:val="18"/>
        </w:rPr>
      </w:pPr>
      <w:r w:rsidRPr="008710E5">
        <w:rPr>
          <w:rFonts w:asciiTheme="majorHAnsi" w:hAnsiTheme="majorHAnsi"/>
          <w:b/>
          <w:sz w:val="20"/>
          <w:szCs w:val="18"/>
        </w:rPr>
        <w:t xml:space="preserve">6.6. </w:t>
      </w:r>
      <w:r w:rsidRPr="008710E5">
        <w:rPr>
          <w:rFonts w:asciiTheme="majorHAnsi" w:hAnsiTheme="majorHAnsi"/>
          <w:b/>
          <w:sz w:val="20"/>
          <w:szCs w:val="18"/>
        </w:rPr>
        <w:tab/>
        <w:t>FORMULARIO DE CONFORMIDAD DE GESTION AMBIENTAL EN OBRAS MECANICAS RED SECUNDARIA</w:t>
      </w:r>
    </w:p>
    <w:p w:rsidR="000B5773" w:rsidRPr="008710E5" w:rsidRDefault="000B5773" w:rsidP="000B5773">
      <w:pPr>
        <w:spacing w:before="240"/>
        <w:jc w:val="both"/>
        <w:rPr>
          <w:rFonts w:asciiTheme="majorHAnsi" w:hAnsiTheme="majorHAnsi" w:cs="Arial"/>
          <w:bCs/>
          <w:sz w:val="20"/>
          <w:szCs w:val="18"/>
        </w:rPr>
      </w:pPr>
    </w:p>
    <w:p w:rsidR="000B5773" w:rsidRPr="008710E5" w:rsidRDefault="000B5773" w:rsidP="000B5773">
      <w:pPr>
        <w:spacing w:before="240"/>
        <w:jc w:val="both"/>
        <w:rPr>
          <w:rFonts w:asciiTheme="majorHAnsi" w:hAnsiTheme="majorHAnsi" w:cs="Arial"/>
          <w:bCs/>
          <w:sz w:val="20"/>
          <w:szCs w:val="18"/>
        </w:rPr>
      </w:pPr>
    </w:p>
    <w:p w:rsidR="000B5773" w:rsidRPr="008710E5" w:rsidRDefault="000B5773" w:rsidP="000B5773">
      <w:pPr>
        <w:spacing w:before="240"/>
        <w:jc w:val="both"/>
        <w:rPr>
          <w:rFonts w:asciiTheme="majorHAnsi" w:hAnsiTheme="majorHAnsi" w:cs="Arial"/>
          <w:bCs/>
          <w:sz w:val="20"/>
          <w:szCs w:val="18"/>
        </w:rPr>
      </w:pPr>
    </w:p>
    <w:p w:rsidR="000B5773" w:rsidRDefault="000B5773"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8710E5" w:rsidRDefault="008710E5" w:rsidP="000B5773">
      <w:pPr>
        <w:spacing w:before="240"/>
        <w:jc w:val="both"/>
        <w:rPr>
          <w:rFonts w:asciiTheme="majorHAnsi" w:hAnsiTheme="majorHAnsi" w:cs="Arial"/>
          <w:bCs/>
          <w:sz w:val="20"/>
          <w:szCs w:val="18"/>
        </w:rPr>
      </w:pPr>
    </w:p>
    <w:p w:rsidR="00A26F09" w:rsidRDefault="00A26F09" w:rsidP="000B5773">
      <w:pPr>
        <w:spacing w:after="240"/>
        <w:jc w:val="center"/>
        <w:rPr>
          <w:rFonts w:asciiTheme="majorHAnsi" w:hAnsiTheme="majorHAnsi"/>
          <w:b/>
          <w:sz w:val="20"/>
          <w:szCs w:val="18"/>
        </w:rPr>
      </w:pPr>
    </w:p>
    <w:p w:rsidR="000B5773" w:rsidRPr="008710E5" w:rsidRDefault="000B5773" w:rsidP="000B5773">
      <w:pPr>
        <w:spacing w:after="240"/>
        <w:jc w:val="center"/>
        <w:rPr>
          <w:rFonts w:asciiTheme="majorHAnsi" w:eastAsia="Arial Unicode MS" w:hAnsiTheme="majorHAnsi"/>
          <w:sz w:val="20"/>
          <w:szCs w:val="18"/>
        </w:rPr>
      </w:pPr>
      <w:r w:rsidRPr="008710E5">
        <w:rPr>
          <w:rFonts w:asciiTheme="majorHAnsi" w:hAnsiTheme="majorHAnsi"/>
          <w:b/>
          <w:sz w:val="20"/>
          <w:szCs w:val="18"/>
        </w:rPr>
        <w:t>MANUAL DE GESTION AMBIENTAL OBRAS CIVILES Y MECANICAS</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0" w:name="_Toc415582520"/>
      <w:r w:rsidRPr="008710E5">
        <w:rPr>
          <w:rFonts w:asciiTheme="majorHAnsi" w:hAnsiTheme="majorHAnsi"/>
          <w:b/>
          <w:sz w:val="20"/>
          <w:szCs w:val="18"/>
        </w:rPr>
        <w:t>Introducción</w:t>
      </w:r>
      <w:bookmarkEnd w:id="0"/>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1" w:name="_Toc415582521"/>
      <w:r w:rsidRPr="008710E5">
        <w:rPr>
          <w:rFonts w:asciiTheme="majorHAnsi" w:hAnsiTheme="majorHAnsi"/>
          <w:b/>
          <w:sz w:val="20"/>
          <w:szCs w:val="18"/>
        </w:rPr>
        <w:t>Objetivo del Manual</w:t>
      </w:r>
      <w:bookmarkEnd w:id="1"/>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El objetivo del presente manual es establecer los requisitos mínimos y lineamientos, en materia ambiental, que se deben cumplir durante la construcción de Sistemas de Distribución de Gas Natural (SDGN).</w:t>
      </w:r>
    </w:p>
    <w:p w:rsidR="000B5773" w:rsidRPr="008710E5" w:rsidRDefault="000B5773" w:rsidP="000B5773">
      <w:pPr>
        <w:pStyle w:val="Prrafodelista"/>
        <w:numPr>
          <w:ilvl w:val="0"/>
          <w:numId w:val="3"/>
        </w:numPr>
        <w:spacing w:after="160" w:line="360" w:lineRule="auto"/>
        <w:contextualSpacing/>
        <w:jc w:val="both"/>
        <w:outlineLvl w:val="0"/>
        <w:rPr>
          <w:rFonts w:asciiTheme="majorHAnsi" w:hAnsiTheme="majorHAnsi"/>
          <w:b/>
          <w:sz w:val="20"/>
          <w:szCs w:val="18"/>
        </w:rPr>
      </w:pPr>
      <w:bookmarkStart w:id="2" w:name="_Toc415582522"/>
      <w:r w:rsidRPr="008710E5">
        <w:rPr>
          <w:rFonts w:asciiTheme="majorHAnsi" w:hAnsiTheme="majorHAnsi"/>
          <w:b/>
          <w:sz w:val="20"/>
          <w:szCs w:val="18"/>
        </w:rPr>
        <w:t>Alcance del Manual</w:t>
      </w:r>
      <w:bookmarkEnd w:id="2"/>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presente manual es de alcance nacional, por lo que se aplica a toda actividad de construcción de SDGN realizada por personal de YPFB y se aplica a todos los contratos</w:t>
      </w:r>
      <w:r w:rsidR="00A26F09">
        <w:rPr>
          <w:rFonts w:asciiTheme="majorHAnsi" w:hAnsiTheme="majorHAnsi"/>
          <w:sz w:val="20"/>
          <w:szCs w:val="18"/>
        </w:rPr>
        <w:t xml:space="preserve"> </w:t>
      </w:r>
      <w:r w:rsidRPr="008710E5">
        <w:rPr>
          <w:rFonts w:asciiTheme="majorHAnsi" w:hAnsiTheme="majorHAnsi"/>
          <w:sz w:val="20"/>
          <w:szCs w:val="18"/>
        </w:rPr>
        <w:t xml:space="preserve">de prestación de servicios </w:t>
      </w:r>
      <w:r w:rsidR="00A26F09">
        <w:rPr>
          <w:rFonts w:asciiTheme="majorHAnsi" w:hAnsiTheme="majorHAnsi"/>
          <w:sz w:val="20"/>
          <w:szCs w:val="18"/>
        </w:rPr>
        <w:t>u órdenes de servicio</w:t>
      </w:r>
      <w:r w:rsidR="00A26F09" w:rsidRPr="008710E5">
        <w:rPr>
          <w:rFonts w:asciiTheme="majorHAnsi" w:hAnsiTheme="majorHAnsi"/>
          <w:sz w:val="20"/>
          <w:szCs w:val="18"/>
        </w:rPr>
        <w:t xml:space="preserve"> </w:t>
      </w:r>
      <w:r w:rsidRPr="008710E5">
        <w:rPr>
          <w:rFonts w:asciiTheme="majorHAnsi" w:hAnsiTheme="majorHAnsi"/>
          <w:sz w:val="20"/>
          <w:szCs w:val="18"/>
        </w:rPr>
        <w:t>adquiridos por YPFB en construcción de SDGN, es decir que deberá ser de uso obligatorio por:</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Empresas Contratistas involucradas en la Construcción de SDGN</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Personal de YPFB-GNRGD, encargado de la Supervisión a empresas contratistas</w:t>
      </w:r>
    </w:p>
    <w:p w:rsidR="000B5773" w:rsidRPr="008710E5" w:rsidRDefault="000B5773" w:rsidP="000B5773">
      <w:pPr>
        <w:pStyle w:val="Prrafodelista"/>
        <w:numPr>
          <w:ilvl w:val="0"/>
          <w:numId w:val="4"/>
        </w:numPr>
        <w:spacing w:after="200" w:line="276" w:lineRule="auto"/>
        <w:contextualSpacing/>
        <w:rPr>
          <w:rFonts w:asciiTheme="majorHAnsi" w:hAnsiTheme="majorHAnsi"/>
          <w:sz w:val="20"/>
          <w:szCs w:val="18"/>
        </w:rPr>
      </w:pPr>
      <w:r w:rsidRPr="008710E5">
        <w:rPr>
          <w:rFonts w:asciiTheme="majorHAnsi" w:hAnsiTheme="majorHAnsi"/>
          <w:sz w:val="20"/>
          <w:szCs w:val="18"/>
        </w:rPr>
        <w:t>Personal de YPFB-GNRGD, involucrado en la Construcción de SDGN.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w:t>
      </w:r>
      <w:r w:rsidRPr="008710E5">
        <w:rPr>
          <w:rFonts w:asciiTheme="majorHAnsi" w:hAnsiTheme="majorHAnsi"/>
          <w:sz w:val="20"/>
          <w:szCs w:val="18"/>
        </w:rPr>
        <w:lastRenderedPageBreak/>
        <w:t>obligaciones definidas en los contratos</w:t>
      </w:r>
      <w:r w:rsidR="00A26F09">
        <w:rPr>
          <w:rFonts w:asciiTheme="majorHAnsi" w:hAnsiTheme="majorHAnsi"/>
          <w:sz w:val="20"/>
          <w:szCs w:val="18"/>
        </w:rPr>
        <w:t>, ordenes de servicio y especificaciones técnicas</w:t>
      </w:r>
      <w:r w:rsidRPr="008710E5">
        <w:rPr>
          <w:rFonts w:asciiTheme="majorHAnsi" w:hAnsiTheme="majorHAnsi"/>
          <w:sz w:val="20"/>
          <w:szCs w:val="18"/>
        </w:rPr>
        <w:t xml:space="preserve"> o en la legislación nacional.</w:t>
      </w:r>
    </w:p>
    <w:p w:rsidR="000B5773" w:rsidRPr="008710E5" w:rsidRDefault="000B5773" w:rsidP="000B5773">
      <w:pPr>
        <w:jc w:val="both"/>
        <w:rPr>
          <w:rFonts w:asciiTheme="majorHAnsi" w:hAnsiTheme="majorHAnsi"/>
          <w:sz w:val="20"/>
          <w:szCs w:val="18"/>
        </w:rPr>
      </w:pPr>
    </w:p>
    <w:p w:rsidR="000B5773" w:rsidRPr="008710E5" w:rsidRDefault="000B5773" w:rsidP="000B5773">
      <w:pPr>
        <w:pStyle w:val="Prrafodelista"/>
        <w:numPr>
          <w:ilvl w:val="0"/>
          <w:numId w:val="3"/>
        </w:numPr>
        <w:spacing w:after="160"/>
        <w:contextualSpacing/>
        <w:jc w:val="both"/>
        <w:outlineLvl w:val="0"/>
        <w:rPr>
          <w:rFonts w:asciiTheme="majorHAnsi" w:hAnsiTheme="majorHAnsi"/>
          <w:b/>
          <w:sz w:val="20"/>
          <w:szCs w:val="18"/>
        </w:rPr>
      </w:pPr>
      <w:bookmarkStart w:id="3" w:name="_Toc415582523"/>
      <w:r w:rsidRPr="008710E5">
        <w:rPr>
          <w:rFonts w:asciiTheme="majorHAnsi" w:hAnsiTheme="majorHAnsi"/>
          <w:b/>
          <w:sz w:val="20"/>
          <w:szCs w:val="18"/>
        </w:rPr>
        <w:t>Redes Secundarias (Obras Civiles)</w:t>
      </w:r>
      <w:bookmarkEnd w:id="3"/>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4" w:name="_Toc415582524"/>
      <w:r w:rsidRPr="008710E5">
        <w:rPr>
          <w:rFonts w:asciiTheme="majorHAnsi" w:hAnsiTheme="majorHAnsi"/>
          <w:b/>
          <w:sz w:val="20"/>
          <w:szCs w:val="18"/>
        </w:rPr>
        <w:t>Consideraciones en Replanteo (R.S.)</w:t>
      </w:r>
      <w:bookmarkEnd w:id="4"/>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Las redes secundarias son diseñadas generalmente sobre las aceras existiendo eventualmente obstáculos que son de consideración ambiental, para este caso solo se considerarán los árboles que puedan existir en el trayecto diseñado para las redes secundarias, para lo cual se deberá evaluar para cada caso particular, con la supervisión, la mejor alternativa, siguiendo las siguientes recomendaciones generales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prohíbe talar o extraer árboles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deberá en lo posible bordear con la trayectoria de la red el árbol</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deberá replantear la ruta en lo posible a una distancia recomendada por supervisión del borde del árbol (variable según la especie y diámetro)</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Se debe evitar dañar las raíces primarias de los árboles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En caso de que la red pase por el área de la raíz se deberá cuidar de no afectar la estabilidad del suelo y se deberá afectar lo mínimamente posible las raices.</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La empresa encargada deberá generar un reporte y un registro fotográfico de las definiciones y alternativas tomadas en cuanto a la presencia de árboles en el replanteo.</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5" w:name="_Toc415582525"/>
      <w:r w:rsidRPr="008710E5">
        <w:rPr>
          <w:rFonts w:asciiTheme="majorHAnsi" w:hAnsiTheme="majorHAnsi"/>
          <w:b/>
          <w:sz w:val="20"/>
          <w:szCs w:val="18"/>
        </w:rPr>
        <w:t>Gestión de Residuos Sólidos (R.S.)</w:t>
      </w:r>
      <w:bookmarkEnd w:id="5"/>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0B5773" w:rsidRPr="008710E5" w:rsidRDefault="000B5773" w:rsidP="000B5773">
      <w:pPr>
        <w:spacing w:after="240"/>
        <w:jc w:val="center"/>
        <w:rPr>
          <w:rFonts w:asciiTheme="majorHAnsi" w:hAnsiTheme="majorHAnsi"/>
          <w:b/>
          <w:sz w:val="20"/>
          <w:szCs w:val="18"/>
        </w:rPr>
      </w:pPr>
      <w:r w:rsidRPr="008710E5">
        <w:rPr>
          <w:rFonts w:asciiTheme="majorHAnsi" w:hAnsiTheme="majorHAnsi"/>
          <w:b/>
          <w:sz w:val="20"/>
          <w:szCs w:val="18"/>
        </w:rPr>
        <w:t>Tabla 1: Caracterización de Residuos en Redes Secundarias</w:t>
      </w:r>
    </w:p>
    <w:tbl>
      <w:tblPr>
        <w:tblW w:w="918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268"/>
        <w:gridCol w:w="2381"/>
      </w:tblGrid>
      <w:tr w:rsidR="000B5773" w:rsidRPr="008710E5" w:rsidTr="008A4F62">
        <w:tc>
          <w:tcPr>
            <w:tcW w:w="1696" w:type="dxa"/>
            <w:tcBorders>
              <w:top w:val="single" w:sz="4" w:space="0" w:color="4F81BD"/>
              <w:left w:val="single" w:sz="4" w:space="0" w:color="4F81BD"/>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60"/>
              <w:jc w:val="center"/>
              <w:rPr>
                <w:rFonts w:asciiTheme="majorHAnsi" w:eastAsia="Calibri" w:hAnsiTheme="majorHAnsi"/>
                <w:b/>
                <w:bCs/>
                <w:sz w:val="20"/>
                <w:szCs w:val="18"/>
              </w:rPr>
            </w:pPr>
            <w:r w:rsidRPr="008710E5">
              <w:rPr>
                <w:rFonts w:asciiTheme="majorHAnsi" w:eastAsia="Calibri" w:hAnsiTheme="majorHAnsi"/>
                <w:b/>
                <w:bCs/>
                <w:sz w:val="20"/>
                <w:szCs w:val="18"/>
              </w:rPr>
              <w:t>Etapa</w:t>
            </w:r>
          </w:p>
        </w:tc>
        <w:tc>
          <w:tcPr>
            <w:tcW w:w="1560"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Actividades</w:t>
            </w:r>
          </w:p>
        </w:tc>
        <w:tc>
          <w:tcPr>
            <w:tcW w:w="1275"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Residuo</w:t>
            </w:r>
          </w:p>
        </w:tc>
        <w:tc>
          <w:tcPr>
            <w:tcW w:w="2268"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Descripción</w:t>
            </w:r>
          </w:p>
        </w:tc>
        <w:tc>
          <w:tcPr>
            <w:tcW w:w="2381" w:type="dxa"/>
            <w:tcBorders>
              <w:top w:val="single" w:sz="4" w:space="0" w:color="4F81BD"/>
              <w:left w:val="nil"/>
              <w:bottom w:val="single" w:sz="4" w:space="0" w:color="4F81BD"/>
              <w:right w:val="single" w:sz="4" w:space="0" w:color="4F81BD"/>
            </w:tcBorders>
            <w:shd w:val="clear" w:color="auto" w:fill="4F81BD"/>
          </w:tcPr>
          <w:p w:rsidR="000B5773" w:rsidRPr="008710E5" w:rsidRDefault="000B5773" w:rsidP="008A4F62">
            <w:pPr>
              <w:ind w:left="34"/>
              <w:jc w:val="center"/>
              <w:rPr>
                <w:rFonts w:asciiTheme="majorHAnsi" w:eastAsia="Calibri" w:hAnsiTheme="majorHAnsi"/>
                <w:b/>
                <w:bCs/>
                <w:sz w:val="20"/>
                <w:szCs w:val="18"/>
              </w:rPr>
            </w:pPr>
            <w:r w:rsidRPr="008710E5">
              <w:rPr>
                <w:rFonts w:asciiTheme="majorHAnsi" w:eastAsia="Calibri" w:hAnsiTheme="majorHAnsi"/>
                <w:b/>
                <w:bCs/>
                <w:sz w:val="20"/>
                <w:szCs w:val="18"/>
              </w:rPr>
              <w:t>Clasificación del Residuo según ANEXO A del RGRS</w:t>
            </w:r>
          </w:p>
        </w:tc>
      </w:tr>
      <w:tr w:rsidR="000B5773" w:rsidRPr="008710E5" w:rsidTr="008A4F62">
        <w:tc>
          <w:tcPr>
            <w:tcW w:w="1696" w:type="dxa"/>
            <w:vMerge w:val="restart"/>
            <w:shd w:val="clear" w:color="auto" w:fill="DBE5F1"/>
            <w:vAlign w:val="center"/>
          </w:tcPr>
          <w:p w:rsidR="000B5773" w:rsidRPr="008710E5" w:rsidRDefault="000B5773" w:rsidP="008A4F62">
            <w:pPr>
              <w:ind w:left="29"/>
              <w:rPr>
                <w:rFonts w:asciiTheme="majorHAnsi" w:eastAsia="Calibri" w:hAnsiTheme="majorHAnsi"/>
                <w:b/>
                <w:bCs/>
                <w:sz w:val="20"/>
                <w:szCs w:val="18"/>
              </w:rPr>
            </w:pPr>
            <w:r w:rsidRPr="008710E5">
              <w:rPr>
                <w:rFonts w:asciiTheme="majorHAnsi" w:eastAsia="Calibri" w:hAnsiTheme="majorHAnsi"/>
                <w:b/>
                <w:bCs/>
                <w:sz w:val="20"/>
                <w:szCs w:val="18"/>
              </w:rPr>
              <w:t>Construcción de Redes Secundarias</w:t>
            </w:r>
          </w:p>
        </w:tc>
        <w:tc>
          <w:tcPr>
            <w:tcW w:w="1560" w:type="dxa"/>
            <w:vMerge w:val="restart"/>
            <w:shd w:val="clear" w:color="auto" w:fill="DBE5F1"/>
            <w:vAlign w:val="center"/>
          </w:tcPr>
          <w:p w:rsidR="000B5773" w:rsidRPr="008710E5" w:rsidRDefault="000B5773" w:rsidP="008A4F62">
            <w:pPr>
              <w:ind w:left="34"/>
              <w:rPr>
                <w:rFonts w:asciiTheme="majorHAnsi" w:eastAsia="Calibri" w:hAnsiTheme="majorHAnsi"/>
                <w:sz w:val="20"/>
                <w:szCs w:val="18"/>
              </w:rPr>
            </w:pPr>
            <w:r w:rsidRPr="008710E5">
              <w:rPr>
                <w:rFonts w:asciiTheme="majorHAnsi" w:eastAsia="Calibri" w:hAnsiTheme="majorHAnsi"/>
                <w:sz w:val="20"/>
                <w:szCs w:val="18"/>
              </w:rPr>
              <w:t>Obras civiles</w:t>
            </w:r>
          </w:p>
        </w:tc>
        <w:tc>
          <w:tcPr>
            <w:tcW w:w="1275"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Escombros</w:t>
            </w:r>
          </w:p>
        </w:tc>
        <w:tc>
          <w:tcPr>
            <w:tcW w:w="226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Se generan al excavar aceras y calles</w:t>
            </w:r>
          </w:p>
        </w:tc>
        <w:tc>
          <w:tcPr>
            <w:tcW w:w="2381"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 Residuo Especial</w:t>
            </w:r>
          </w:p>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E.5 Escombros</w:t>
            </w:r>
          </w:p>
        </w:tc>
      </w:tr>
      <w:tr w:rsidR="000B5773" w:rsidRPr="008710E5" w:rsidTr="008A4F62">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226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El personal de cada empresa puede generar residuos comunes como papeles, plásticos restos de comida, etc.</w:t>
            </w:r>
          </w:p>
        </w:tc>
        <w:tc>
          <w:tcPr>
            <w:tcW w:w="2381"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 Residuos Domiciliarios</w:t>
            </w:r>
          </w:p>
        </w:tc>
      </w:tr>
    </w:tbl>
    <w:p w:rsidR="000B5773" w:rsidRDefault="000B5773" w:rsidP="000B5773">
      <w:pPr>
        <w:spacing w:before="240" w:after="240"/>
        <w:jc w:val="both"/>
        <w:rPr>
          <w:rFonts w:asciiTheme="majorHAnsi" w:hAnsiTheme="majorHAnsi"/>
          <w:sz w:val="20"/>
          <w:szCs w:val="18"/>
        </w:rPr>
      </w:pPr>
      <w:r w:rsidRPr="008710E5">
        <w:rPr>
          <w:rFonts w:asciiTheme="majorHAnsi" w:hAnsiTheme="majorHAnsi"/>
          <w:sz w:val="20"/>
          <w:szCs w:val="18"/>
        </w:rPr>
        <w:t>A continuación se presentan requisitos y consideraciones mínimas para la gestión que debe realizarse con cada residuo:</w:t>
      </w:r>
    </w:p>
    <w:p w:rsidR="00222AF9" w:rsidRDefault="00222AF9" w:rsidP="000B5773">
      <w:pPr>
        <w:spacing w:before="240" w:after="240"/>
        <w:jc w:val="both"/>
        <w:rPr>
          <w:rFonts w:asciiTheme="majorHAnsi" w:hAnsiTheme="majorHAnsi"/>
          <w:sz w:val="20"/>
          <w:szCs w:val="18"/>
        </w:rPr>
      </w:pPr>
    </w:p>
    <w:p w:rsidR="00222AF9" w:rsidRPr="008710E5" w:rsidRDefault="00222AF9" w:rsidP="000B5773">
      <w:pPr>
        <w:spacing w:before="240" w:after="240"/>
        <w:jc w:val="both"/>
        <w:rPr>
          <w:rFonts w:asciiTheme="majorHAnsi" w:hAnsiTheme="majorHAnsi"/>
          <w:sz w:val="20"/>
          <w:szCs w:val="18"/>
        </w:rPr>
      </w:pPr>
    </w:p>
    <w:p w:rsidR="000B5773" w:rsidRPr="008710E5" w:rsidRDefault="000B5773" w:rsidP="000B5773">
      <w:pPr>
        <w:pStyle w:val="Prrafodelista"/>
        <w:spacing w:after="160"/>
        <w:ind w:left="1224"/>
        <w:jc w:val="both"/>
        <w:rPr>
          <w:rFonts w:asciiTheme="majorHAnsi" w:hAnsiTheme="majorHAnsi"/>
          <w:b/>
          <w:sz w:val="20"/>
          <w:szCs w:val="18"/>
        </w:rPr>
      </w:pPr>
      <w:r w:rsidRPr="008710E5">
        <w:rPr>
          <w:rFonts w:asciiTheme="majorHAnsi" w:hAnsiTheme="majorHAnsi"/>
          <w:b/>
          <w:sz w:val="20"/>
          <w:szCs w:val="18"/>
        </w:rPr>
        <w:lastRenderedPageBreak/>
        <w:t>4.2.1. Escombros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trayecto planteado para las redes secundarias son en su mayoría sobre áreas urbanizadas con aceras y calzadas, donde la excavación de zanjas generará cantidades significativas de escombros, los mismos que deben ser acomodados cerca de la zanja según la especificación técnica de construcción.</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rPr>
        <w:drawing>
          <wp:inline distT="0" distB="0" distL="0" distR="0" wp14:anchorId="5A9EEB2C" wp14:editId="1DB0D014">
            <wp:extent cx="3181262" cy="2012521"/>
            <wp:effectExtent l="57150" t="57150" r="114935" b="121285"/>
            <wp:docPr id="42" name="Imagen 5"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larmustafa\AppData\Local\Microsoft\Windows\Temporary Internet Files\Content.Word\DSC0054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0715" cy="201231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Generación de Escombros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Manipulación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personal que manipule los escombros deberá utilizar guantes, casco y botas de seguridad, puesto que existe el riesgo de que caiga o golpee al trabajador durante su manipulación.</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volquetas o camiones los cuales al ser cargados no deberán sobrepasar su capacidad de carga y evitar que los mismos caigan durante el trayecto.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0B5773" w:rsidRDefault="000B5773" w:rsidP="000B5773">
      <w:pPr>
        <w:pStyle w:val="Prrafodelista"/>
        <w:spacing w:after="160"/>
        <w:ind w:left="0"/>
        <w:jc w:val="both"/>
        <w:rPr>
          <w:rFonts w:asciiTheme="majorHAnsi" w:hAnsiTheme="majorHAnsi"/>
          <w:sz w:val="20"/>
          <w:szCs w:val="18"/>
        </w:rPr>
      </w:pPr>
    </w:p>
    <w:p w:rsidR="00222AF9" w:rsidRPr="008710E5" w:rsidRDefault="00222AF9"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spacing w:after="160"/>
        <w:ind w:left="1224"/>
        <w:jc w:val="both"/>
        <w:rPr>
          <w:rFonts w:asciiTheme="majorHAnsi" w:hAnsiTheme="majorHAnsi"/>
          <w:b/>
          <w:sz w:val="20"/>
          <w:szCs w:val="18"/>
        </w:rPr>
      </w:pPr>
      <w:r w:rsidRPr="008710E5">
        <w:rPr>
          <w:rFonts w:asciiTheme="majorHAnsi" w:hAnsiTheme="majorHAnsi"/>
          <w:b/>
          <w:sz w:val="20"/>
          <w:szCs w:val="18"/>
        </w:rPr>
        <w:lastRenderedPageBreak/>
        <w:t>4.2.2. Residuos Comunes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rPr>
        <w:drawing>
          <wp:inline distT="0" distB="0" distL="0" distR="0" wp14:anchorId="232B419F" wp14:editId="4D8126A2">
            <wp:extent cx="2232086" cy="1823057"/>
            <wp:effectExtent l="57150" t="57150" r="111125" b="120650"/>
            <wp:docPr id="43" name="Imagen 29"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C:\Users\larmustafa\AppData\Local\Microsoft\Windows\Temporary Internet Files\Content.Word\DSC0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025" cy="18224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710E5">
        <w:rPr>
          <w:rFonts w:asciiTheme="majorHAnsi" w:hAnsiTheme="majorHAnsi"/>
          <w:noProof/>
          <w:sz w:val="20"/>
          <w:szCs w:val="18"/>
        </w:rPr>
        <w:drawing>
          <wp:inline distT="0" distB="0" distL="0" distR="0" wp14:anchorId="6EB405B1" wp14:editId="0B4B4646">
            <wp:extent cx="2469659" cy="1853203"/>
            <wp:effectExtent l="57150" t="57150" r="121285" b="109220"/>
            <wp:docPr id="44" name="Imagen 24"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C:\Users\PEDRO\Desktop\COMPARTIDOS OMA\Fotos Monitoreo\Red Primaria\Kallutaca\4 Residuos Domiciliarios\DSC00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9515" cy="18529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Residuos Comunes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movilidades de la empresa hasta las instalaciones o campamentos cuidando que no existan riesgos de daño a los contenedores.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 o entrega</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6" w:name="_Toc415582526"/>
      <w:r w:rsidRPr="008710E5">
        <w:rPr>
          <w:rFonts w:asciiTheme="majorHAnsi" w:hAnsiTheme="majorHAnsi"/>
          <w:b/>
          <w:sz w:val="20"/>
          <w:szCs w:val="18"/>
        </w:rPr>
        <w:t>Control de Calidad de Aire (R.S.)</w:t>
      </w:r>
      <w:bookmarkEnd w:id="6"/>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caso del factor Aire se identificaron como aspectos ambientales de importancia los siguientes: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partículas suspendidas</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gases de combustión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lastRenderedPageBreak/>
        <w:t>Partículas Suspendidas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 a presencia de vientos. La empresa deberá presentar un registro fotográfico del regado en zanjas, como respaldo de la mitigación de este impacto, donde se deberá reportar el origen del agua utilizada.</w:t>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noProof/>
          <w:sz w:val="20"/>
          <w:szCs w:val="18"/>
        </w:rPr>
        <w:drawing>
          <wp:anchor distT="30480" distB="83693" distL="144780" distR="201930" simplePos="0" relativeHeight="251660288" behindDoc="0" locked="0" layoutInCell="1" allowOverlap="1" wp14:anchorId="61D39F5A" wp14:editId="0E953B2E">
            <wp:simplePos x="0" y="0"/>
            <wp:positionH relativeFrom="column">
              <wp:posOffset>3118790</wp:posOffset>
            </wp:positionH>
            <wp:positionV relativeFrom="paragraph">
              <wp:posOffset>81763</wp:posOffset>
            </wp:positionV>
            <wp:extent cx="1704441" cy="2452910"/>
            <wp:effectExtent l="57150" t="57150" r="105410" b="119380"/>
            <wp:wrapNone/>
            <wp:docPr id="1841"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9308" cy="245991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noProof/>
          <w:sz w:val="20"/>
          <w:szCs w:val="18"/>
        </w:rPr>
        <w:drawing>
          <wp:anchor distT="30480" distB="86233" distL="144780" distR="199390" simplePos="0" relativeHeight="251659264" behindDoc="0" locked="0" layoutInCell="1" allowOverlap="1" wp14:anchorId="0E0C1461" wp14:editId="0076775A">
            <wp:simplePos x="0" y="0"/>
            <wp:positionH relativeFrom="column">
              <wp:posOffset>163450</wp:posOffset>
            </wp:positionH>
            <wp:positionV relativeFrom="paragraph">
              <wp:posOffset>140285</wp:posOffset>
            </wp:positionV>
            <wp:extent cx="2304288" cy="1983194"/>
            <wp:effectExtent l="57150" t="57150" r="115570" b="112395"/>
            <wp:wrapNone/>
            <wp:docPr id="1840" name="Imagen 25"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9413" cy="198760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b/>
          <w:sz w:val="20"/>
          <w:szCs w:val="18"/>
        </w:rPr>
      </w:pPr>
    </w:p>
    <w:p w:rsidR="000B5773" w:rsidRPr="008710E5" w:rsidRDefault="000B5773" w:rsidP="000B5773">
      <w:pPr>
        <w:spacing w:after="160"/>
        <w:jc w:val="both"/>
        <w:rPr>
          <w:rFonts w:asciiTheme="majorHAnsi" w:hAnsiTheme="majorHAnsi"/>
          <w:b/>
          <w:sz w:val="20"/>
          <w:szCs w:val="18"/>
        </w:rPr>
      </w:pPr>
    </w:p>
    <w:p w:rsidR="000B5773" w:rsidRPr="008710E5" w:rsidRDefault="000B5773" w:rsidP="000B5773">
      <w:pPr>
        <w:spacing w:after="160"/>
        <w:jc w:val="both"/>
        <w:rPr>
          <w:rFonts w:asciiTheme="majorHAnsi" w:hAnsiTheme="majorHAnsi"/>
          <w:b/>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Generación de Partículas suspendidas (polvo)</w:t>
      </w:r>
    </w:p>
    <w:p w:rsidR="000B5773" w:rsidRPr="008710E5" w:rsidRDefault="000B5773" w:rsidP="000B5773">
      <w:pPr>
        <w:jc w:val="both"/>
        <w:rPr>
          <w:rFonts w:asciiTheme="majorHAnsi" w:hAnsiTheme="majorHAnsi"/>
          <w:sz w:val="20"/>
          <w:szCs w:val="18"/>
        </w:rPr>
      </w:pPr>
    </w:p>
    <w:p w:rsidR="000B5773" w:rsidRPr="008710E5" w:rsidRDefault="000B5773" w:rsidP="000B5773">
      <w:pPr>
        <w:ind w:left="4963" w:firstLine="709"/>
        <w:jc w:val="both"/>
        <w:rPr>
          <w:rFonts w:asciiTheme="majorHAnsi" w:hAnsiTheme="majorHAnsi"/>
          <w:sz w:val="20"/>
          <w:szCs w:val="18"/>
        </w:rPr>
      </w:pPr>
      <w:r w:rsidRPr="008710E5">
        <w:rPr>
          <w:rFonts w:asciiTheme="majorHAnsi" w:hAnsiTheme="majorHAnsi"/>
          <w:sz w:val="20"/>
          <w:szCs w:val="18"/>
        </w:rPr>
        <w:t>Humectación</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Gases de Combustión  (R.S.)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Se ha determinado que las empresas contratistas deben encargarse de que toda maquinaria a ser utilizada en la construcción de la red secundaria así como todos los vehículos de la empresa cuenten con su mantenimiento respectivo en talleres mecánicos que correspondan.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0B5773" w:rsidRPr="008710E5" w:rsidRDefault="000B5773" w:rsidP="000B5773">
      <w:pPr>
        <w:jc w:val="center"/>
        <w:rPr>
          <w:rFonts w:asciiTheme="majorHAnsi" w:hAnsiTheme="majorHAnsi"/>
          <w:sz w:val="20"/>
          <w:szCs w:val="18"/>
        </w:rPr>
      </w:pPr>
      <w:r w:rsidRPr="008710E5">
        <w:rPr>
          <w:rFonts w:asciiTheme="majorHAnsi" w:hAnsiTheme="majorHAnsi"/>
          <w:noProof/>
          <w:sz w:val="20"/>
          <w:szCs w:val="18"/>
        </w:rPr>
        <w:lastRenderedPageBreak/>
        <w:drawing>
          <wp:inline distT="0" distB="0" distL="0" distR="0" wp14:anchorId="5BCD6E51" wp14:editId="730E0339">
            <wp:extent cx="2590934" cy="1943201"/>
            <wp:effectExtent l="57150" t="57150" r="114300" b="114300"/>
            <wp:docPr id="45" name="Imagen 26"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C:\Users\LISSA\RESP. GESTION SOCIO AMBIENTAL\Fotos Laja Kallutaka\DSC0152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jc w:val="center"/>
        <w:rPr>
          <w:rFonts w:asciiTheme="majorHAnsi" w:hAnsiTheme="majorHAnsi"/>
          <w:sz w:val="20"/>
          <w:szCs w:val="18"/>
        </w:rPr>
      </w:pPr>
      <w:r w:rsidRPr="008710E5">
        <w:rPr>
          <w:rFonts w:asciiTheme="majorHAnsi" w:hAnsiTheme="majorHAnsi"/>
          <w:sz w:val="20"/>
          <w:szCs w:val="18"/>
        </w:rPr>
        <w:t>Emisión de gases de combustión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7" w:name="_Toc415582527"/>
      <w:r w:rsidRPr="008710E5">
        <w:rPr>
          <w:rFonts w:asciiTheme="majorHAnsi" w:hAnsiTheme="majorHAnsi"/>
          <w:b/>
          <w:sz w:val="20"/>
          <w:szCs w:val="18"/>
        </w:rPr>
        <w:t>Abandono y Restauración (R.S.)</w:t>
      </w:r>
      <w:bookmarkEnd w:id="7"/>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Se deberá generar registros fotográficos mostrando las condiciones del área una vez finalizada la construcción.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8" w:name="_Toc415582528"/>
      <w:r w:rsidRPr="008710E5">
        <w:rPr>
          <w:rFonts w:asciiTheme="majorHAnsi" w:hAnsiTheme="majorHAnsi"/>
          <w:b/>
          <w:sz w:val="20"/>
          <w:szCs w:val="18"/>
        </w:rPr>
        <w:t>Generación de Registros y presentación de formularios (R.S.)</w:t>
      </w:r>
      <w:bookmarkEnd w:id="8"/>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cumplimiento de todos los requisitos y recomendaciones de este manual solo puede ser demostrado mediante los registros indicados en cada punto por lo que la empresa deberá presentar el “Formulario de conformidad de gestión Ambiental en obras civiles de red Secundaria” al finalizar la obra adjuntando al mismo los registros solicitados en este manual.</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En el siguiente cuadro se presenta un resumen los registros a generar por la empresa encargada de construcción de redes secundarias:</w:t>
      </w: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2 Registros a generar para Obras Civiles en Redes Secundarias</w:t>
      </w:r>
    </w:p>
    <w:tbl>
      <w:tblPr>
        <w:tblW w:w="960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2239"/>
        <w:gridCol w:w="5529"/>
      </w:tblGrid>
      <w:tr w:rsidR="000B5773" w:rsidRPr="008710E5" w:rsidTr="008A4F62">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Consideración</w:t>
            </w:r>
          </w:p>
        </w:tc>
        <w:tc>
          <w:tcPr>
            <w:tcW w:w="2239" w:type="dxa"/>
            <w:tcBorders>
              <w:top w:val="single" w:sz="4" w:space="0" w:color="4F81BD"/>
              <w:left w:val="nil"/>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Detalle</w:t>
            </w:r>
          </w:p>
        </w:tc>
        <w:tc>
          <w:tcPr>
            <w:tcW w:w="5529"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Registros a Generar</w:t>
            </w:r>
          </w:p>
        </w:tc>
      </w:tr>
      <w:tr w:rsidR="000B5773" w:rsidRPr="008710E5" w:rsidTr="008A4F62">
        <w:tc>
          <w:tcPr>
            <w:tcW w:w="1838" w:type="dxa"/>
            <w:vMerge w:val="restart"/>
            <w:shd w:val="clear" w:color="auto" w:fill="auto"/>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Replanteo</w:t>
            </w:r>
          </w:p>
        </w:tc>
        <w:tc>
          <w:tcPr>
            <w:tcW w:w="2239" w:type="dxa"/>
            <w:vMerge w:val="restart"/>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Arboles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Reporte de cantidad de casos presentados y definición de alternativas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la construcción</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Residuos Sólidos</w:t>
            </w:r>
          </w:p>
        </w:tc>
        <w:tc>
          <w:tcPr>
            <w:tcW w:w="2239" w:type="dxa"/>
            <w:vMerge w:val="restart"/>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Escombros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Permiso o documento de la Gobernación Municipal competente para la disposición final de escombros.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almacenamiento temporal y vehículos de transporte, reporte de cantidad generada</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2239" w:type="dxa"/>
            <w:vMerge w:val="restart"/>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Residuos comunes</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 contenedores </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vMerge/>
            <w:shd w:val="clear" w:color="auto" w:fill="auto"/>
            <w:vAlign w:val="center"/>
          </w:tcPr>
          <w:p w:rsidR="000B5773" w:rsidRPr="008710E5" w:rsidRDefault="000B5773" w:rsidP="008A4F62">
            <w:pPr>
              <w:rPr>
                <w:rFonts w:asciiTheme="majorHAnsi" w:eastAsia="Calibri" w:hAnsiTheme="majorHAnsi"/>
                <w:sz w:val="18"/>
                <w:szCs w:val="18"/>
              </w:rPr>
            </w:pP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Actas de entrega a reciclaje si corresponde</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Control de calidad de Aire</w:t>
            </w:r>
          </w:p>
        </w:tc>
        <w:tc>
          <w:tcPr>
            <w:tcW w:w="223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Generación de polvo</w:t>
            </w:r>
          </w:p>
        </w:tc>
        <w:tc>
          <w:tcPr>
            <w:tcW w:w="5529"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humectación de zanjas</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223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Generación de gases de combustión</w:t>
            </w:r>
          </w:p>
        </w:tc>
        <w:tc>
          <w:tcPr>
            <w:tcW w:w="5529"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o Planillas de mantenimiento de vehículos</w:t>
            </w:r>
          </w:p>
        </w:tc>
      </w:tr>
    </w:tbl>
    <w:p w:rsidR="000B5773" w:rsidRPr="008710E5" w:rsidRDefault="000B5773" w:rsidP="000B5773">
      <w:pPr>
        <w:pStyle w:val="Ttulo1"/>
        <w:numPr>
          <w:ilvl w:val="1"/>
          <w:numId w:val="3"/>
        </w:numPr>
        <w:rPr>
          <w:rFonts w:asciiTheme="majorHAnsi" w:hAnsiTheme="majorHAnsi"/>
          <w:b w:val="0"/>
          <w:sz w:val="20"/>
          <w:szCs w:val="18"/>
        </w:rPr>
      </w:pPr>
      <w:bookmarkStart w:id="9" w:name="_Toc415582529"/>
      <w:r w:rsidRPr="008710E5">
        <w:rPr>
          <w:rFonts w:asciiTheme="majorHAnsi" w:hAnsiTheme="majorHAnsi"/>
          <w:sz w:val="20"/>
          <w:szCs w:val="18"/>
        </w:rPr>
        <w:lastRenderedPageBreak/>
        <w:t>FORMULARIO DE CONFORMIDAD DE GESTION AMBIENTAL EN OBRAS CIVILES RED SECUNDARIA</w:t>
      </w:r>
      <w:bookmarkEnd w:id="9"/>
    </w:p>
    <w:p w:rsidR="000B5773" w:rsidRPr="008710E5" w:rsidRDefault="000B5773" w:rsidP="000B5773">
      <w:pPr>
        <w:jc w:val="both"/>
        <w:rPr>
          <w:rFonts w:asciiTheme="majorHAnsi" w:hAnsiTheme="majorHAnsi"/>
          <w:sz w:val="20"/>
          <w:szCs w:val="18"/>
          <w:lang w:val="x-none"/>
        </w:rPr>
      </w:pPr>
      <w:r w:rsidRPr="008710E5">
        <w:rPr>
          <w:rFonts w:asciiTheme="majorHAnsi" w:hAnsiTheme="majorHAnsi"/>
          <w:noProof/>
          <w:sz w:val="20"/>
          <w:szCs w:val="18"/>
        </w:rPr>
        <w:drawing>
          <wp:anchor distT="0" distB="0" distL="114300" distR="114300" simplePos="0" relativeHeight="251662336" behindDoc="0" locked="0" layoutInCell="1" allowOverlap="1" wp14:anchorId="7B9E994A" wp14:editId="0E6BA831">
            <wp:simplePos x="0" y="0"/>
            <wp:positionH relativeFrom="column">
              <wp:posOffset>273050</wp:posOffset>
            </wp:positionH>
            <wp:positionV relativeFrom="paragraph">
              <wp:posOffset>112395</wp:posOffset>
            </wp:positionV>
            <wp:extent cx="5397500" cy="5924550"/>
            <wp:effectExtent l="0" t="0" r="0" b="0"/>
            <wp:wrapSquare wrapText="bothSides"/>
            <wp:docPr id="183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7500" cy="5924550"/>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0B5773" w:rsidRPr="008710E5" w:rsidRDefault="000B5773" w:rsidP="000B5773">
      <w:pPr>
        <w:pStyle w:val="Prrafodelista"/>
        <w:ind w:left="360"/>
        <w:contextualSpacing/>
        <w:jc w:val="both"/>
        <w:outlineLvl w:val="0"/>
        <w:rPr>
          <w:rFonts w:asciiTheme="majorHAnsi" w:hAnsiTheme="majorHAnsi"/>
          <w:b/>
          <w:sz w:val="20"/>
          <w:szCs w:val="18"/>
        </w:rPr>
      </w:pPr>
      <w:bookmarkStart w:id="10" w:name="_Toc415581371"/>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ind w:left="360"/>
        <w:contextualSpacing/>
        <w:jc w:val="both"/>
        <w:outlineLvl w:val="0"/>
        <w:rPr>
          <w:rFonts w:asciiTheme="majorHAnsi" w:hAnsiTheme="majorHAnsi"/>
          <w:b/>
          <w:sz w:val="20"/>
          <w:szCs w:val="18"/>
        </w:rPr>
      </w:pPr>
    </w:p>
    <w:p w:rsidR="000B5773" w:rsidRPr="008710E5" w:rsidRDefault="000B5773" w:rsidP="000B5773">
      <w:pPr>
        <w:pStyle w:val="Prrafodelista"/>
        <w:numPr>
          <w:ilvl w:val="0"/>
          <w:numId w:val="3"/>
        </w:numPr>
        <w:contextualSpacing/>
        <w:jc w:val="both"/>
        <w:outlineLvl w:val="0"/>
        <w:rPr>
          <w:rFonts w:asciiTheme="majorHAnsi" w:hAnsiTheme="majorHAnsi"/>
          <w:b/>
          <w:sz w:val="20"/>
          <w:szCs w:val="18"/>
        </w:rPr>
      </w:pPr>
      <w:r w:rsidRPr="008710E5">
        <w:rPr>
          <w:rFonts w:asciiTheme="majorHAnsi" w:hAnsiTheme="majorHAnsi"/>
          <w:b/>
          <w:sz w:val="20"/>
          <w:szCs w:val="18"/>
        </w:rPr>
        <w:t>Redes Secundarias (Obras Mecánicas)</w:t>
      </w:r>
      <w:bookmarkEnd w:id="10"/>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1" w:name="_Toc415581372"/>
      <w:r w:rsidRPr="008710E5">
        <w:rPr>
          <w:rFonts w:asciiTheme="majorHAnsi" w:hAnsiTheme="majorHAnsi"/>
          <w:b/>
          <w:sz w:val="20"/>
          <w:szCs w:val="18"/>
        </w:rPr>
        <w:t>Gestión de Residuos Sólidos (R.S.)</w:t>
      </w:r>
      <w:bookmarkEnd w:id="11"/>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Durante la construcción de las redes secundarias se generan distintos tipos de residuos sólidos los cuales deberán ser gestionados adecuadamente, se presenta a continuación la caracterización de los residuos priorizados que se generan en las actividades de construcción de redes secundarias y que deberán ser gestionados:</w:t>
      </w: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3: Caracterización de Residuos en Redes Secundarias</w:t>
      </w:r>
    </w:p>
    <w:tbl>
      <w:tblPr>
        <w:tblW w:w="9067"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696"/>
        <w:gridCol w:w="1560"/>
        <w:gridCol w:w="1275"/>
        <w:gridCol w:w="2694"/>
        <w:gridCol w:w="1842"/>
      </w:tblGrid>
      <w:tr w:rsidR="000B5773" w:rsidRPr="008710E5" w:rsidTr="008A4F62">
        <w:trPr>
          <w:jc w:val="center"/>
        </w:trPr>
        <w:tc>
          <w:tcPr>
            <w:tcW w:w="1696" w:type="dxa"/>
            <w:tcBorders>
              <w:top w:val="single" w:sz="4" w:space="0" w:color="4F81BD"/>
              <w:left w:val="single" w:sz="4" w:space="0" w:color="4F81BD"/>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60"/>
              <w:jc w:val="center"/>
              <w:rPr>
                <w:rFonts w:asciiTheme="majorHAnsi" w:eastAsia="Calibri" w:hAnsiTheme="majorHAnsi"/>
                <w:b/>
                <w:bCs/>
                <w:sz w:val="20"/>
                <w:szCs w:val="18"/>
              </w:rPr>
            </w:pPr>
            <w:r w:rsidRPr="008710E5">
              <w:rPr>
                <w:rFonts w:asciiTheme="majorHAnsi" w:eastAsia="Calibri" w:hAnsiTheme="majorHAnsi"/>
                <w:b/>
                <w:bCs/>
                <w:sz w:val="20"/>
                <w:szCs w:val="18"/>
              </w:rPr>
              <w:t>Etapa</w:t>
            </w:r>
          </w:p>
        </w:tc>
        <w:tc>
          <w:tcPr>
            <w:tcW w:w="1560"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Actividades</w:t>
            </w:r>
          </w:p>
        </w:tc>
        <w:tc>
          <w:tcPr>
            <w:tcW w:w="1275"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Residuo</w:t>
            </w:r>
          </w:p>
        </w:tc>
        <w:tc>
          <w:tcPr>
            <w:tcW w:w="2694" w:type="dxa"/>
            <w:tcBorders>
              <w:top w:val="single" w:sz="4" w:space="0" w:color="4F81BD"/>
              <w:left w:val="nil"/>
              <w:bottom w:val="single" w:sz="4" w:space="0" w:color="4F81BD"/>
              <w:right w:val="nil"/>
            </w:tcBorders>
            <w:shd w:val="clear" w:color="auto" w:fill="4F81BD"/>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ind w:left="33"/>
              <w:jc w:val="center"/>
              <w:rPr>
                <w:rFonts w:asciiTheme="majorHAnsi" w:eastAsia="Calibri" w:hAnsiTheme="majorHAnsi"/>
                <w:b/>
                <w:bCs/>
                <w:sz w:val="20"/>
                <w:szCs w:val="18"/>
              </w:rPr>
            </w:pPr>
            <w:r w:rsidRPr="008710E5">
              <w:rPr>
                <w:rFonts w:asciiTheme="majorHAnsi" w:eastAsia="Calibri" w:hAnsiTheme="majorHAnsi"/>
                <w:b/>
                <w:bCs/>
                <w:sz w:val="20"/>
                <w:szCs w:val="18"/>
              </w:rPr>
              <w:t>Descripción</w:t>
            </w:r>
          </w:p>
        </w:tc>
        <w:tc>
          <w:tcPr>
            <w:tcW w:w="1842" w:type="dxa"/>
            <w:tcBorders>
              <w:top w:val="single" w:sz="4" w:space="0" w:color="4F81BD"/>
              <w:left w:val="nil"/>
              <w:bottom w:val="single" w:sz="4" w:space="0" w:color="4F81BD"/>
              <w:right w:val="single" w:sz="4" w:space="0" w:color="4F81BD"/>
            </w:tcBorders>
            <w:shd w:val="clear" w:color="auto" w:fill="4F81BD"/>
          </w:tcPr>
          <w:p w:rsidR="000B5773" w:rsidRPr="008710E5" w:rsidRDefault="000B5773" w:rsidP="008A4F62">
            <w:pPr>
              <w:ind w:left="34"/>
              <w:jc w:val="center"/>
              <w:rPr>
                <w:rFonts w:asciiTheme="majorHAnsi" w:eastAsia="Calibri" w:hAnsiTheme="majorHAnsi"/>
                <w:b/>
                <w:bCs/>
                <w:sz w:val="20"/>
                <w:szCs w:val="18"/>
              </w:rPr>
            </w:pPr>
            <w:r w:rsidRPr="008710E5">
              <w:rPr>
                <w:rFonts w:asciiTheme="majorHAnsi" w:eastAsia="Calibri" w:hAnsiTheme="majorHAnsi"/>
                <w:b/>
                <w:bCs/>
                <w:sz w:val="20"/>
                <w:szCs w:val="18"/>
              </w:rPr>
              <w:t>Clasificación del Residuo según ANEXO A del RGRS</w:t>
            </w:r>
          </w:p>
        </w:tc>
      </w:tr>
      <w:tr w:rsidR="000B5773" w:rsidRPr="008710E5" w:rsidTr="008A4F62">
        <w:trPr>
          <w:jc w:val="center"/>
        </w:trPr>
        <w:tc>
          <w:tcPr>
            <w:tcW w:w="1696" w:type="dxa"/>
            <w:vMerge w:val="restart"/>
            <w:shd w:val="clear" w:color="auto" w:fill="DBE5F1"/>
          </w:tcPr>
          <w:p w:rsidR="000B5773" w:rsidRPr="008710E5" w:rsidRDefault="000B5773" w:rsidP="008A4F62">
            <w:pPr>
              <w:ind w:left="360"/>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p>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Construcción redes secundarias</w:t>
            </w:r>
          </w:p>
        </w:tc>
        <w:tc>
          <w:tcPr>
            <w:tcW w:w="1560"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Obras mecánicas</w:t>
            </w:r>
          </w:p>
        </w:tc>
        <w:tc>
          <w:tcPr>
            <w:tcW w:w="1275" w:type="dxa"/>
            <w:shd w:val="clear" w:color="auto" w:fill="DBE5F1"/>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Restos de Tubería de Polietileno</w:t>
            </w:r>
          </w:p>
        </w:tc>
        <w:tc>
          <w:tcPr>
            <w:tcW w:w="2694"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Se generan retazos de tuberías de polietileno</w:t>
            </w:r>
          </w:p>
        </w:tc>
        <w:tc>
          <w:tcPr>
            <w:tcW w:w="1842" w:type="dxa"/>
            <w:shd w:val="clear" w:color="auto" w:fill="DBE5F1"/>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F. Residuo Industrial Asimilable a Domiciliario.</w:t>
            </w:r>
          </w:p>
        </w:tc>
      </w:tr>
      <w:tr w:rsidR="000B5773" w:rsidRPr="008710E5" w:rsidTr="008A4F62">
        <w:trPr>
          <w:jc w:val="center"/>
        </w:trPr>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Viruta plástica</w:t>
            </w:r>
          </w:p>
        </w:tc>
        <w:tc>
          <w:tcPr>
            <w:tcW w:w="2694"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Para la soldadura de electro fusión se raspa los bordes de las tuberías generando la viruta</w:t>
            </w:r>
          </w:p>
        </w:tc>
        <w:tc>
          <w:tcPr>
            <w:tcW w:w="1842" w:type="dxa"/>
            <w:shd w:val="clear" w:color="auto" w:fill="auto"/>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A. Residuo Domiciliario</w:t>
            </w:r>
          </w:p>
        </w:tc>
      </w:tr>
      <w:tr w:rsidR="000B5773" w:rsidRPr="008710E5" w:rsidTr="008A4F62">
        <w:trPr>
          <w:jc w:val="center"/>
        </w:trPr>
        <w:tc>
          <w:tcPr>
            <w:tcW w:w="1696" w:type="dxa"/>
            <w:vMerge/>
            <w:shd w:val="clear" w:color="auto" w:fill="DBE5F1"/>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DBE5F1"/>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DBE5F1"/>
          </w:tcPr>
          <w:p w:rsidR="000B5773" w:rsidRPr="008710E5" w:rsidRDefault="000B5773" w:rsidP="008A4F62">
            <w:pPr>
              <w:jc w:val="center"/>
              <w:rPr>
                <w:rFonts w:asciiTheme="majorHAnsi" w:eastAsia="Calibri" w:hAnsiTheme="majorHAnsi"/>
                <w:sz w:val="20"/>
                <w:szCs w:val="18"/>
              </w:rPr>
            </w:pPr>
            <w:r w:rsidRPr="008710E5">
              <w:rPr>
                <w:rFonts w:asciiTheme="majorHAnsi" w:eastAsia="Calibri" w:hAnsiTheme="majorHAnsi"/>
                <w:sz w:val="20"/>
                <w:szCs w:val="18"/>
              </w:rPr>
              <w:t>Bolsas plásticas</w:t>
            </w:r>
          </w:p>
        </w:tc>
        <w:tc>
          <w:tcPr>
            <w:tcW w:w="2694" w:type="dxa"/>
            <w:shd w:val="clear" w:color="auto" w:fill="DBE5F1"/>
            <w:vAlign w:val="center"/>
          </w:tcPr>
          <w:p w:rsidR="000B5773" w:rsidRPr="008710E5" w:rsidRDefault="000B5773" w:rsidP="008A4F62">
            <w:pPr>
              <w:ind w:left="33"/>
              <w:rPr>
                <w:rFonts w:asciiTheme="majorHAnsi" w:eastAsia="Calibri" w:hAnsiTheme="majorHAnsi"/>
                <w:sz w:val="20"/>
                <w:szCs w:val="18"/>
              </w:rPr>
            </w:pPr>
            <w:r w:rsidRPr="008710E5">
              <w:rPr>
                <w:rFonts w:asciiTheme="majorHAnsi" w:eastAsia="Calibri" w:hAnsiTheme="majorHAnsi"/>
                <w:sz w:val="20"/>
                <w:szCs w:val="18"/>
              </w:rPr>
              <w:t>Los accesorios de Polietileno vienen en bolsas plásticas, por lo que se obtiene una al utilizar cada accesorio</w:t>
            </w:r>
          </w:p>
        </w:tc>
        <w:tc>
          <w:tcPr>
            <w:tcW w:w="1842" w:type="dxa"/>
            <w:shd w:val="clear" w:color="auto" w:fill="DBE5F1"/>
          </w:tcPr>
          <w:p w:rsidR="000B5773" w:rsidRPr="008710E5" w:rsidRDefault="000B5773" w:rsidP="008A4F62">
            <w:pPr>
              <w:jc w:val="both"/>
              <w:rPr>
                <w:rFonts w:asciiTheme="majorHAnsi" w:eastAsia="Calibri" w:hAnsiTheme="majorHAnsi"/>
                <w:sz w:val="20"/>
                <w:szCs w:val="18"/>
              </w:rPr>
            </w:pPr>
            <w:r w:rsidRPr="008710E5">
              <w:rPr>
                <w:rFonts w:asciiTheme="majorHAnsi" w:eastAsia="Calibri" w:hAnsiTheme="majorHAnsi"/>
                <w:sz w:val="20"/>
                <w:szCs w:val="18"/>
              </w:rPr>
              <w:t>A. Residuo Domiciliario</w:t>
            </w:r>
          </w:p>
        </w:tc>
      </w:tr>
      <w:tr w:rsidR="000B5773" w:rsidRPr="008710E5" w:rsidTr="008A4F62">
        <w:trPr>
          <w:jc w:val="center"/>
        </w:trPr>
        <w:tc>
          <w:tcPr>
            <w:tcW w:w="1696" w:type="dxa"/>
            <w:vMerge/>
            <w:shd w:val="clear" w:color="auto" w:fill="auto"/>
          </w:tcPr>
          <w:p w:rsidR="000B5773" w:rsidRPr="008710E5" w:rsidRDefault="000B5773" w:rsidP="008A4F62">
            <w:pPr>
              <w:ind w:left="360"/>
              <w:jc w:val="center"/>
              <w:rPr>
                <w:rFonts w:asciiTheme="majorHAnsi" w:eastAsia="Calibri" w:hAnsiTheme="majorHAnsi"/>
                <w:b/>
                <w:bCs/>
                <w:sz w:val="20"/>
                <w:szCs w:val="18"/>
              </w:rPr>
            </w:pPr>
          </w:p>
        </w:tc>
        <w:tc>
          <w:tcPr>
            <w:tcW w:w="1560" w:type="dxa"/>
            <w:vMerge/>
            <w:shd w:val="clear" w:color="auto" w:fill="auto"/>
            <w:vAlign w:val="center"/>
          </w:tcPr>
          <w:p w:rsidR="000B5773" w:rsidRPr="008710E5" w:rsidRDefault="000B5773" w:rsidP="008A4F62">
            <w:pPr>
              <w:ind w:left="360"/>
              <w:rPr>
                <w:rFonts w:asciiTheme="majorHAnsi" w:eastAsia="Calibri" w:hAnsiTheme="majorHAnsi"/>
                <w:sz w:val="20"/>
                <w:szCs w:val="18"/>
              </w:rPr>
            </w:pPr>
          </w:p>
        </w:tc>
        <w:tc>
          <w:tcPr>
            <w:tcW w:w="1275"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2694"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El personal de cada empresa puede generar residuos comunes como papeles, plásticos restos de comida, etc.</w:t>
            </w:r>
          </w:p>
        </w:tc>
        <w:tc>
          <w:tcPr>
            <w:tcW w:w="1842"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 Residuos Domiciliarios</w:t>
            </w:r>
          </w:p>
        </w:tc>
      </w:tr>
    </w:tbl>
    <w:p w:rsidR="000B5773" w:rsidRPr="008710E5" w:rsidRDefault="000B5773" w:rsidP="000B5773">
      <w:pPr>
        <w:ind w:left="360"/>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A continuación se presentan requisitos y consideraciones mínimas para la gestión que debe realizarse con cada residuo:</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Restos de tubería de Polietileno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Durante la construcción de redes secundarias se generan cortes a las tuberías generando así restos de tubería de polietileno, los cuales por ningún motivo deberán dejarse en zanja o en el sitio de la obra, los mismos deben ser recolectados, la empresa deberá definir si lo hace en contenedores específicos o si los recopilaran en el mismo vehículo de la empresa, siempre que se cumplan las condiciones de evitar la exposición del material hacia la intemperie y el contacto directo con otros residuos.</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rPr>
        <w:lastRenderedPageBreak/>
        <w:drawing>
          <wp:anchor distT="27296" distB="74495" distL="141600" distR="191308" simplePos="0" relativeHeight="251663360" behindDoc="0" locked="0" layoutInCell="1" allowOverlap="1" wp14:anchorId="53202077" wp14:editId="128A45B5">
            <wp:simplePos x="0" y="0"/>
            <wp:positionH relativeFrom="column">
              <wp:posOffset>976625</wp:posOffset>
            </wp:positionH>
            <wp:positionV relativeFrom="paragraph">
              <wp:posOffset>54601</wp:posOffset>
            </wp:positionV>
            <wp:extent cx="3275162" cy="1808924"/>
            <wp:effectExtent l="57150" t="57150" r="116205" b="115570"/>
            <wp:wrapTopAndBottom/>
            <wp:docPr id="1838" name="Imagen 38" descr="C:\Users\DTRGEA\Desktop\residuos solidos\20141119_16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C:\Users\DTRGEA\Desktop\residuos solidos\20141119_1623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4695" cy="180848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sz w:val="20"/>
          <w:szCs w:val="18"/>
        </w:rPr>
        <w:t>Restos de Tubería de polietileno</w:t>
      </w: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ind w:left="0"/>
        <w:jc w:val="both"/>
        <w:rPr>
          <w:rFonts w:asciiTheme="majorHAnsi" w:hAnsiTheme="majorHAnsi"/>
          <w:sz w:val="20"/>
          <w:szCs w:val="18"/>
        </w:rPr>
      </w:pPr>
      <w:r w:rsidRPr="008710E5">
        <w:rPr>
          <w:rFonts w:asciiTheme="majorHAnsi" w:hAnsiTheme="majorHAnsi"/>
          <w:sz w:val="20"/>
          <w:szCs w:val="18"/>
        </w:rPr>
        <w:t>El almacenamiento temporal de los restos de tubería deberá ser en campamentos,  instalaciones o almacenes de la empresa, el lugar dispuesto debe tener condiciones para evitar la exposición del material hacia la intemperie y el contacto directo con otros residuos.</w:t>
      </w: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ind w:left="0"/>
        <w:jc w:val="both"/>
        <w:rPr>
          <w:rFonts w:asciiTheme="majorHAnsi" w:hAnsiTheme="majorHAnsi"/>
          <w:sz w:val="20"/>
          <w:szCs w:val="18"/>
        </w:rPr>
      </w:pPr>
      <w:r w:rsidRPr="008710E5">
        <w:rPr>
          <w:rFonts w:asciiTheme="majorHAnsi" w:hAnsiTheme="majorHAnsi"/>
          <w:sz w:val="20"/>
          <w:szCs w:val="18"/>
        </w:rPr>
        <w:t>El transporte se deberá realizar en vehículos de la empresa cuidando que no estén en contacto con  tierra, polvo y radiación solar.</w:t>
      </w:r>
    </w:p>
    <w:p w:rsidR="000B5773" w:rsidRPr="008710E5" w:rsidRDefault="000B5773" w:rsidP="000B5773">
      <w:pPr>
        <w:pStyle w:val="Prrafodelista"/>
        <w:ind w:left="0"/>
        <w:jc w:val="both"/>
        <w:rPr>
          <w:rFonts w:asciiTheme="majorHAnsi" w:hAnsiTheme="majorHAnsi"/>
          <w:sz w:val="20"/>
          <w:szCs w:val="18"/>
        </w:rPr>
      </w:pPr>
    </w:p>
    <w:p w:rsidR="000B5773" w:rsidRPr="008710E5" w:rsidRDefault="000B5773" w:rsidP="000B5773">
      <w:pPr>
        <w:pStyle w:val="Prrafodelista"/>
        <w:numPr>
          <w:ilvl w:val="0"/>
          <w:numId w:val="1"/>
        </w:numPr>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Viruta plástica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spacing w:after="160"/>
        <w:jc w:val="center"/>
        <w:rPr>
          <w:rFonts w:asciiTheme="majorHAnsi" w:hAnsiTheme="majorHAnsi"/>
          <w:sz w:val="20"/>
          <w:szCs w:val="18"/>
        </w:rPr>
      </w:pPr>
      <w:r w:rsidRPr="008710E5">
        <w:rPr>
          <w:rFonts w:asciiTheme="majorHAnsi" w:hAnsiTheme="majorHAnsi"/>
          <w:noProof/>
          <w:sz w:val="20"/>
          <w:szCs w:val="18"/>
        </w:rPr>
        <w:lastRenderedPageBreak/>
        <mc:AlternateContent>
          <mc:Choice Requires="wps">
            <w:drawing>
              <wp:anchor distT="0" distB="0" distL="114300" distR="114300" simplePos="0" relativeHeight="251666432" behindDoc="0" locked="0" layoutInCell="1" allowOverlap="1" wp14:anchorId="5DA0E760" wp14:editId="00D937AE">
                <wp:simplePos x="0" y="0"/>
                <wp:positionH relativeFrom="column">
                  <wp:posOffset>257175</wp:posOffset>
                </wp:positionH>
                <wp:positionV relativeFrom="paragraph">
                  <wp:posOffset>832485</wp:posOffset>
                </wp:positionV>
                <wp:extent cx="1742440" cy="729615"/>
                <wp:effectExtent l="0" t="0" r="10160" b="13335"/>
                <wp:wrapNone/>
                <wp:docPr id="51" name="Elips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40" cy="72961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4BE6F" id="Elipse 39" o:spid="_x0000_s1026" style="position:absolute;margin-left:20.25pt;margin-top:65.55pt;width:137.2pt;height:57.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" filled="f" strokecolor="red" strokeweight="2pt">
                <v:path arrowok="t"/>
              </v:oval>
            </w:pict>
          </mc:Fallback>
        </mc:AlternateContent>
      </w:r>
      <w:r w:rsidRPr="008710E5">
        <w:rPr>
          <w:rFonts w:asciiTheme="majorHAnsi" w:hAnsiTheme="majorHAnsi"/>
          <w:noProof/>
          <w:sz w:val="20"/>
          <w:szCs w:val="18"/>
        </w:rPr>
        <w:drawing>
          <wp:anchor distT="24489" distB="70916" distL="138793" distR="184614" simplePos="0" relativeHeight="251665408" behindDoc="0" locked="0" layoutInCell="1" allowOverlap="1" wp14:anchorId="2839AD9C" wp14:editId="47C5F145">
            <wp:simplePos x="0" y="0"/>
            <wp:positionH relativeFrom="column">
              <wp:posOffset>2835003</wp:posOffset>
            </wp:positionH>
            <wp:positionV relativeFrom="paragraph">
              <wp:posOffset>58779</wp:posOffset>
            </wp:positionV>
            <wp:extent cx="1707958" cy="1594330"/>
            <wp:effectExtent l="57150" t="57150" r="121285" b="120650"/>
            <wp:wrapTopAndBottom/>
            <wp:docPr id="183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rotWithShape="1">
                    <a:blip r:embed="rId15" cstate="print">
                      <a:extLst>
                        <a:ext uri="{28A0092B-C50C-407E-A947-70E740481C1C}">
                          <a14:useLocalDpi xmlns:a14="http://schemas.microsoft.com/office/drawing/2010/main" val="0"/>
                        </a:ext>
                      </a:extLst>
                    </a:blip>
                    <a:srcRect l="11473" r="10844"/>
                    <a:stretch/>
                  </pic:blipFill>
                  <pic:spPr bwMode="auto">
                    <a:xfrm>
                      <a:off x="0" y="0"/>
                      <a:ext cx="1707515" cy="1593850"/>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noProof/>
          <w:sz w:val="20"/>
          <w:szCs w:val="18"/>
        </w:rPr>
        <w:drawing>
          <wp:anchor distT="25722" distB="74487" distL="140021" distR="188891" simplePos="0" relativeHeight="251664384" behindDoc="0" locked="0" layoutInCell="1" allowOverlap="1" wp14:anchorId="0FC5C0DE" wp14:editId="3084C9E2">
            <wp:simplePos x="0" y="0"/>
            <wp:positionH relativeFrom="column">
              <wp:posOffset>208601</wp:posOffset>
            </wp:positionH>
            <wp:positionV relativeFrom="paragraph">
              <wp:posOffset>60012</wp:posOffset>
            </wp:positionV>
            <wp:extent cx="2096153" cy="1674616"/>
            <wp:effectExtent l="57150" t="57150" r="113665" b="116205"/>
            <wp:wrapTopAndBottom/>
            <wp:docPr id="183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rotWithShape="1">
                    <a:blip r:embed="rId16" cstate="print">
                      <a:extLst>
                        <a:ext uri="{28A0092B-C50C-407E-A947-70E740481C1C}">
                          <a14:useLocalDpi xmlns:a14="http://schemas.microsoft.com/office/drawing/2010/main" val="0"/>
                        </a:ext>
                      </a:extLst>
                    </a:blip>
                    <a:srcRect l="18543" r="11548"/>
                    <a:stretch/>
                  </pic:blipFill>
                  <pic:spPr bwMode="auto">
                    <a:xfrm>
                      <a:off x="0" y="0"/>
                      <a:ext cx="2096135" cy="167449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10E5">
        <w:rPr>
          <w:rFonts w:asciiTheme="majorHAnsi" w:hAnsiTheme="majorHAnsi"/>
          <w:sz w:val="20"/>
          <w:szCs w:val="18"/>
        </w:rPr>
        <w:t>Viruta Plástica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Se deberá almacenar este material junto a los restos de tuberías de polietileno en su contenedor diferenciado, en un sitio que cumpla las recomendaciones mencionadas en el punto anterior.</w:t>
      </w:r>
    </w:p>
    <w:p w:rsidR="000B5773" w:rsidRPr="008710E5" w:rsidRDefault="000B5773"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Bolsas Plásticas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 y recolección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accesorios de polietileno vienen en bolsas plásticas reciclables, las cuales considerando la 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0B5773" w:rsidRPr="008710E5" w:rsidRDefault="000B5773" w:rsidP="000B5773">
      <w:pPr>
        <w:pStyle w:val="Prrafodelista"/>
        <w:ind w:left="0"/>
        <w:jc w:val="center"/>
        <w:rPr>
          <w:rFonts w:asciiTheme="majorHAnsi" w:hAnsiTheme="majorHAnsi"/>
          <w:sz w:val="20"/>
          <w:szCs w:val="18"/>
        </w:rPr>
      </w:pPr>
      <w:r w:rsidRPr="008710E5">
        <w:rPr>
          <w:rFonts w:asciiTheme="majorHAnsi" w:hAnsiTheme="majorHAnsi"/>
          <w:noProof/>
          <w:sz w:val="20"/>
          <w:szCs w:val="18"/>
        </w:rPr>
        <w:drawing>
          <wp:inline distT="0" distB="0" distL="0" distR="0" wp14:anchorId="7141B6A5" wp14:editId="0108C617">
            <wp:extent cx="3467819" cy="1414091"/>
            <wp:effectExtent l="57150" t="57150" r="113665" b="110490"/>
            <wp:docPr id="46" name="Imagen 54"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C:\Users\PEDRO\Desktop\otro escritorio 2015\escritorio 2015\gosrre\Informes finales\EIA-SDGN\Fotos\Respaldo Camara\DSC0032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000" t="16903" b="42390"/>
                    <a:stretch/>
                  </pic:blipFill>
                  <pic:spPr bwMode="auto">
                    <a:xfrm>
                      <a:off x="0" y="0"/>
                      <a:ext cx="3473130" cy="1416257"/>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0B5773" w:rsidRDefault="000B5773" w:rsidP="000B5773">
      <w:pPr>
        <w:pStyle w:val="Prrafodelista"/>
        <w:ind w:left="0"/>
        <w:jc w:val="center"/>
        <w:rPr>
          <w:rFonts w:asciiTheme="majorHAnsi" w:hAnsiTheme="majorHAnsi"/>
          <w:sz w:val="20"/>
          <w:szCs w:val="18"/>
        </w:rPr>
      </w:pPr>
      <w:r w:rsidRPr="008710E5">
        <w:rPr>
          <w:rFonts w:asciiTheme="majorHAnsi" w:hAnsiTheme="majorHAnsi"/>
          <w:sz w:val="20"/>
          <w:szCs w:val="18"/>
        </w:rPr>
        <w:t>Bolsa de accesorio de red secundaria</w:t>
      </w:r>
    </w:p>
    <w:p w:rsidR="00222AF9" w:rsidRDefault="00222AF9" w:rsidP="000B5773">
      <w:pPr>
        <w:pStyle w:val="Prrafodelista"/>
        <w:ind w:left="0"/>
        <w:jc w:val="center"/>
        <w:rPr>
          <w:rFonts w:asciiTheme="majorHAnsi" w:hAnsiTheme="majorHAnsi"/>
          <w:sz w:val="20"/>
          <w:szCs w:val="18"/>
        </w:rPr>
      </w:pPr>
    </w:p>
    <w:p w:rsidR="00222AF9" w:rsidRPr="008710E5" w:rsidRDefault="00222AF9" w:rsidP="000B5773">
      <w:pPr>
        <w:pStyle w:val="Prrafodelista"/>
        <w:ind w:left="0"/>
        <w:jc w:val="center"/>
        <w:rPr>
          <w:rFonts w:asciiTheme="majorHAnsi" w:hAnsiTheme="majorHAnsi"/>
          <w:sz w:val="20"/>
          <w:szCs w:val="18"/>
        </w:rPr>
      </w:pP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lastRenderedPageBreak/>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Se deberá almacenar este material junto a los restos de tuberías de polietileno en su contenedor diferenciado, en un sitio que cumpla las recomendaciones mencionadas en el punto anterior.</w:t>
      </w:r>
    </w:p>
    <w:p w:rsidR="000B5773" w:rsidRPr="008710E5" w:rsidRDefault="000B5773" w:rsidP="000B5773">
      <w:pPr>
        <w:pStyle w:val="Prrafodelista"/>
        <w:numPr>
          <w:ilvl w:val="0"/>
          <w:numId w:val="1"/>
        </w:numPr>
        <w:ind w:left="714" w:hanging="357"/>
        <w:contextualSpacing/>
        <w:jc w:val="both"/>
        <w:rPr>
          <w:rFonts w:asciiTheme="majorHAnsi" w:hAnsiTheme="majorHAnsi"/>
          <w:b/>
          <w:sz w:val="20"/>
          <w:szCs w:val="18"/>
        </w:rPr>
      </w:pPr>
      <w:r w:rsidRPr="008710E5">
        <w:rPr>
          <w:rFonts w:asciiTheme="majorHAnsi" w:hAnsiTheme="majorHAnsi"/>
          <w:b/>
          <w:sz w:val="20"/>
          <w:szCs w:val="18"/>
        </w:rPr>
        <w:t>Disposición Final</w:t>
      </w:r>
    </w:p>
    <w:p w:rsidR="000B5773" w:rsidRPr="008710E5" w:rsidRDefault="000B5773" w:rsidP="000B5773">
      <w:pPr>
        <w:spacing w:after="160"/>
        <w:jc w:val="both"/>
        <w:rPr>
          <w:rFonts w:asciiTheme="majorHAnsi" w:hAnsiTheme="majorHAnsi"/>
          <w:sz w:val="20"/>
          <w:szCs w:val="18"/>
        </w:rPr>
      </w:pPr>
      <w:r w:rsidRPr="008710E5">
        <w:rPr>
          <w:rFonts w:asciiTheme="majorHAnsi" w:hAnsiTheme="majorHAnsi"/>
          <w:sz w:val="20"/>
          <w:szCs w:val="18"/>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Residuos Comunes  (R.S.)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Generación</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noProof/>
          <w:sz w:val="20"/>
          <w:szCs w:val="18"/>
        </w:rPr>
        <w:drawing>
          <wp:inline distT="0" distB="0" distL="0" distR="0" wp14:anchorId="48A4146E" wp14:editId="59B0A304">
            <wp:extent cx="2232086" cy="1823057"/>
            <wp:effectExtent l="57150" t="57150" r="111125" b="120650"/>
            <wp:docPr id="47" name="Imagen 55"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descr="C:\Users\larmustafa\AppData\Local\Microsoft\Windows\Temporary Internet Files\Content.Word\DSC0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025" cy="18224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710E5">
        <w:rPr>
          <w:rFonts w:asciiTheme="majorHAnsi" w:hAnsiTheme="majorHAnsi"/>
          <w:noProof/>
          <w:sz w:val="20"/>
          <w:szCs w:val="18"/>
        </w:rPr>
        <w:drawing>
          <wp:inline distT="0" distB="0" distL="0" distR="0" wp14:anchorId="686ABAB3" wp14:editId="61895498">
            <wp:extent cx="2469659" cy="1853203"/>
            <wp:effectExtent l="57150" t="57150" r="121285" b="109220"/>
            <wp:docPr id="48" name="Imagen 56"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C:\Users\PEDRO\Desktop\COMPARTIDOS OMA\Fotos Monitoreo\Red Primaria\Kallutaca\4 Residuos Domiciliarios\DSC00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9515" cy="185293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pStyle w:val="Prrafodelista"/>
        <w:spacing w:after="160"/>
        <w:ind w:left="0"/>
        <w:jc w:val="center"/>
        <w:rPr>
          <w:rFonts w:asciiTheme="majorHAnsi" w:hAnsiTheme="majorHAnsi"/>
          <w:sz w:val="20"/>
          <w:szCs w:val="18"/>
        </w:rPr>
      </w:pPr>
      <w:r w:rsidRPr="008710E5">
        <w:rPr>
          <w:rFonts w:asciiTheme="majorHAnsi" w:hAnsiTheme="majorHAnsi"/>
          <w:sz w:val="20"/>
          <w:szCs w:val="18"/>
        </w:rPr>
        <w:t>Residuos Comunes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Almacenamiento temporal</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Transporte</w:t>
      </w:r>
    </w:p>
    <w:p w:rsidR="000B5773" w:rsidRPr="008710E5"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El transporte de estos residuos será en movilidades de la empresa hasta las instalaciones o campamentos cuidando que no existan riesgos de daño a los contenedores.</w:t>
      </w:r>
    </w:p>
    <w:p w:rsidR="000B5773" w:rsidRPr="008710E5" w:rsidRDefault="000B5773" w:rsidP="000B5773">
      <w:pPr>
        <w:pStyle w:val="Prrafodelista"/>
        <w:numPr>
          <w:ilvl w:val="0"/>
          <w:numId w:val="1"/>
        </w:numPr>
        <w:spacing w:after="160"/>
        <w:contextualSpacing/>
        <w:jc w:val="both"/>
        <w:rPr>
          <w:rFonts w:asciiTheme="majorHAnsi" w:hAnsiTheme="majorHAnsi"/>
          <w:b/>
          <w:sz w:val="20"/>
          <w:szCs w:val="18"/>
        </w:rPr>
      </w:pPr>
      <w:r w:rsidRPr="008710E5">
        <w:rPr>
          <w:rFonts w:asciiTheme="majorHAnsi" w:hAnsiTheme="majorHAnsi"/>
          <w:b/>
          <w:sz w:val="20"/>
          <w:szCs w:val="18"/>
        </w:rPr>
        <w:t>Disposición Final o entrega</w:t>
      </w:r>
    </w:p>
    <w:p w:rsidR="000B5773" w:rsidRDefault="000B5773" w:rsidP="000B5773">
      <w:pPr>
        <w:pStyle w:val="Prrafodelista"/>
        <w:spacing w:after="160"/>
        <w:ind w:left="0"/>
        <w:jc w:val="both"/>
        <w:rPr>
          <w:rFonts w:asciiTheme="majorHAnsi" w:hAnsiTheme="majorHAnsi"/>
          <w:sz w:val="20"/>
          <w:szCs w:val="18"/>
        </w:rPr>
      </w:pPr>
      <w:r w:rsidRPr="008710E5">
        <w:rPr>
          <w:rFonts w:asciiTheme="majorHAnsi" w:hAnsiTheme="majorHAnsi"/>
          <w:sz w:val="20"/>
          <w:szCs w:val="18"/>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222AF9" w:rsidRPr="008710E5" w:rsidRDefault="00222AF9" w:rsidP="000B5773">
      <w:pPr>
        <w:pStyle w:val="Prrafodelista"/>
        <w:spacing w:after="160"/>
        <w:ind w:left="0"/>
        <w:jc w:val="both"/>
        <w:rPr>
          <w:rFonts w:asciiTheme="majorHAnsi" w:hAnsiTheme="majorHAnsi"/>
          <w:sz w:val="20"/>
          <w:szCs w:val="18"/>
        </w:rPr>
      </w:pP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2" w:name="_Toc415581373"/>
      <w:r w:rsidRPr="008710E5">
        <w:rPr>
          <w:rFonts w:asciiTheme="majorHAnsi" w:hAnsiTheme="majorHAnsi"/>
          <w:b/>
          <w:sz w:val="20"/>
          <w:szCs w:val="18"/>
        </w:rPr>
        <w:t>Control de Calidad de Aire (R.S.)</w:t>
      </w:r>
      <w:bookmarkEnd w:id="12"/>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caso del factor Aire se identificaron como aspectos ambientales de importancia el siguiente:</w:t>
      </w:r>
    </w:p>
    <w:p w:rsidR="000B5773" w:rsidRPr="008710E5" w:rsidRDefault="000B5773" w:rsidP="000B5773">
      <w:pPr>
        <w:pStyle w:val="Prrafodelista"/>
        <w:numPr>
          <w:ilvl w:val="0"/>
          <w:numId w:val="2"/>
        </w:numPr>
        <w:spacing w:after="200"/>
        <w:contextualSpacing/>
        <w:jc w:val="both"/>
        <w:rPr>
          <w:rFonts w:asciiTheme="majorHAnsi" w:hAnsiTheme="majorHAnsi"/>
          <w:sz w:val="20"/>
          <w:szCs w:val="18"/>
        </w:rPr>
      </w:pPr>
      <w:r w:rsidRPr="008710E5">
        <w:rPr>
          <w:rFonts w:asciiTheme="majorHAnsi" w:hAnsiTheme="majorHAnsi"/>
          <w:sz w:val="20"/>
          <w:szCs w:val="18"/>
        </w:rPr>
        <w:t>Generación de gases de combustión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Por lo que la empresa deberá realizar un mínimo control de sus emisiones gaseosas durante las actividades de apertura y reposición de zanjas según lo establecido en este manual.</w:t>
      </w:r>
    </w:p>
    <w:p w:rsidR="000B5773" w:rsidRPr="008710E5" w:rsidRDefault="000B5773" w:rsidP="000B5773">
      <w:pPr>
        <w:pStyle w:val="Prrafodelista"/>
        <w:numPr>
          <w:ilvl w:val="2"/>
          <w:numId w:val="3"/>
        </w:numPr>
        <w:spacing w:after="160"/>
        <w:contextualSpacing/>
        <w:jc w:val="both"/>
        <w:rPr>
          <w:rFonts w:asciiTheme="majorHAnsi" w:hAnsiTheme="majorHAnsi"/>
          <w:b/>
          <w:sz w:val="20"/>
          <w:szCs w:val="18"/>
        </w:rPr>
      </w:pPr>
      <w:r w:rsidRPr="008710E5">
        <w:rPr>
          <w:rFonts w:asciiTheme="majorHAnsi" w:hAnsiTheme="majorHAnsi"/>
          <w:b/>
          <w:sz w:val="20"/>
          <w:szCs w:val="18"/>
        </w:rPr>
        <w:t>Gases de Combustión  (R.S.)</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Los gases de combustión son gases generados por la combustión de los hidrocarburos generando principalmente CO2, CO, NO2 y SO2 los cuales salen por los escapes de vehículos y maquinarias utilizadas durante la construcción de la red secundaria y tienen efectos negativos en la calidad del aire aportando a los gases de efecto invernadero.</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Se ha determinado que las empresas contratistas deben encargarse de que toda maquinaria a ser utilizada en la construcción de redes secundarias así como todos los vehículos de la empresa cuenten con su mantenimiento respectivo en talleres mecánicos que correspondan.</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0B5773" w:rsidRPr="008710E5" w:rsidRDefault="000B5773" w:rsidP="000B5773">
      <w:pPr>
        <w:jc w:val="center"/>
        <w:rPr>
          <w:rFonts w:asciiTheme="majorHAnsi" w:hAnsiTheme="majorHAnsi"/>
          <w:sz w:val="20"/>
          <w:szCs w:val="18"/>
        </w:rPr>
      </w:pPr>
      <w:r w:rsidRPr="008710E5">
        <w:rPr>
          <w:rFonts w:asciiTheme="majorHAnsi" w:hAnsiTheme="majorHAnsi"/>
          <w:noProof/>
          <w:sz w:val="20"/>
          <w:szCs w:val="18"/>
        </w:rPr>
        <w:drawing>
          <wp:inline distT="0" distB="0" distL="0" distR="0" wp14:anchorId="6C7F36D0" wp14:editId="6766C378">
            <wp:extent cx="1957059" cy="1473739"/>
            <wp:effectExtent l="57150" t="57150" r="120015" b="107950"/>
            <wp:docPr id="49" name="Imagen 57"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C:\Users\LISSA\RESP. GESTION SOCIO AMBIENTAL\Fotos Laja Kallutaka\DSC0152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56435" cy="14732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0B5773" w:rsidRPr="008710E5" w:rsidRDefault="000B5773" w:rsidP="000B5773">
      <w:pPr>
        <w:jc w:val="center"/>
        <w:rPr>
          <w:rFonts w:asciiTheme="majorHAnsi" w:hAnsiTheme="majorHAnsi"/>
          <w:sz w:val="20"/>
          <w:szCs w:val="18"/>
        </w:rPr>
      </w:pPr>
      <w:r w:rsidRPr="008710E5">
        <w:rPr>
          <w:rFonts w:asciiTheme="majorHAnsi" w:hAnsiTheme="majorHAnsi"/>
          <w:sz w:val="20"/>
          <w:szCs w:val="18"/>
        </w:rPr>
        <w:t>Emisión de gases de combustión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3" w:name="_Toc415581374"/>
      <w:r w:rsidRPr="008710E5">
        <w:rPr>
          <w:rFonts w:asciiTheme="majorHAnsi" w:hAnsiTheme="majorHAnsi"/>
          <w:b/>
          <w:sz w:val="20"/>
          <w:szCs w:val="18"/>
        </w:rPr>
        <w:t>Abandono y Restauración (R.S.)</w:t>
      </w:r>
      <w:bookmarkEnd w:id="13"/>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En el abandono de ejecución una vez concluidas todas las actividades de construcción de las redes secundarias se debe limpiar el área intervenida evitando dejar cualquier tipo de residuo que haya generado la empresa debiendo dejar el área en condiciones similares a las que existían antes de la construcción.</w:t>
      </w:r>
    </w:p>
    <w:p w:rsidR="000B5773" w:rsidRPr="008710E5" w:rsidRDefault="000B5773" w:rsidP="000B5773">
      <w:pPr>
        <w:spacing w:after="240"/>
        <w:jc w:val="both"/>
        <w:rPr>
          <w:rFonts w:asciiTheme="majorHAnsi" w:hAnsiTheme="majorHAnsi"/>
          <w:sz w:val="20"/>
          <w:szCs w:val="18"/>
        </w:rPr>
      </w:pPr>
      <w:r w:rsidRPr="008710E5">
        <w:rPr>
          <w:rFonts w:asciiTheme="majorHAnsi" w:hAnsiTheme="majorHAnsi"/>
          <w:sz w:val="20"/>
          <w:szCs w:val="18"/>
        </w:rPr>
        <w:t>Se deberá generar registros fotográficos mostrando las condiciones del área una vez finalizada la construcción.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4" w:name="_Toc415581375"/>
      <w:r w:rsidRPr="008710E5">
        <w:rPr>
          <w:rFonts w:asciiTheme="majorHAnsi" w:hAnsiTheme="majorHAnsi"/>
          <w:b/>
          <w:sz w:val="20"/>
          <w:szCs w:val="18"/>
        </w:rPr>
        <w:t>Generación de Registros y presentación de formularios (R.S.)</w:t>
      </w:r>
      <w:bookmarkEnd w:id="14"/>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El cumplimiento de todos los requisitos y recomendaciones de este manual solo puede ser demostrado mediante los registros indicados en cada punto por lo que la empresa deberá presentar en sus informes los registros solicitados en este manual.</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lastRenderedPageBreak/>
        <w:t>En el siguiente cuadro se presenta un resumen los registros a generar por la empresa encargada de construcción de redes secundarias:</w:t>
      </w:r>
    </w:p>
    <w:p w:rsidR="000B5773" w:rsidRPr="008710E5" w:rsidRDefault="000B5773" w:rsidP="000B5773">
      <w:pPr>
        <w:jc w:val="center"/>
        <w:rPr>
          <w:rFonts w:asciiTheme="majorHAnsi" w:hAnsiTheme="majorHAnsi"/>
          <w:b/>
          <w:sz w:val="20"/>
          <w:szCs w:val="18"/>
        </w:rPr>
      </w:pPr>
    </w:p>
    <w:p w:rsidR="000B5773" w:rsidRPr="008710E5" w:rsidRDefault="000B5773" w:rsidP="000B5773">
      <w:pPr>
        <w:jc w:val="center"/>
        <w:rPr>
          <w:rFonts w:asciiTheme="majorHAnsi" w:hAnsiTheme="majorHAnsi"/>
          <w:b/>
          <w:sz w:val="20"/>
          <w:szCs w:val="18"/>
        </w:rPr>
      </w:pPr>
      <w:r w:rsidRPr="008710E5">
        <w:rPr>
          <w:rFonts w:asciiTheme="majorHAnsi" w:hAnsiTheme="majorHAnsi"/>
          <w:b/>
          <w:sz w:val="20"/>
          <w:szCs w:val="18"/>
        </w:rPr>
        <w:t>Tabla 4: Registros a generar para Obras mecánicas en Redes Secundarias</w:t>
      </w:r>
    </w:p>
    <w:tbl>
      <w:tblPr>
        <w:tblW w:w="8784"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1418"/>
        <w:gridCol w:w="5528"/>
      </w:tblGrid>
      <w:tr w:rsidR="000B5773" w:rsidRPr="008710E5" w:rsidTr="008A4F62">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Consideración</w:t>
            </w:r>
          </w:p>
        </w:tc>
        <w:tc>
          <w:tcPr>
            <w:tcW w:w="1418" w:type="dxa"/>
            <w:tcBorders>
              <w:top w:val="single" w:sz="4" w:space="0" w:color="4F81BD"/>
              <w:left w:val="nil"/>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Detalle</w:t>
            </w:r>
          </w:p>
        </w:tc>
        <w:tc>
          <w:tcPr>
            <w:tcW w:w="5528"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20"/>
                <w:szCs w:val="18"/>
              </w:rPr>
            </w:pPr>
            <w:r w:rsidRPr="008710E5">
              <w:rPr>
                <w:rFonts w:asciiTheme="majorHAnsi" w:eastAsia="Calibri" w:hAnsiTheme="majorHAnsi"/>
                <w:b/>
                <w:bCs/>
                <w:sz w:val="20"/>
                <w:szCs w:val="18"/>
              </w:rPr>
              <w:t>Registros a Generar</w:t>
            </w:r>
          </w:p>
        </w:tc>
      </w:tr>
      <w:tr w:rsidR="000B5773" w:rsidRPr="008710E5" w:rsidTr="008A4F62">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20"/>
                <w:szCs w:val="18"/>
              </w:rPr>
            </w:pPr>
            <w:r w:rsidRPr="008710E5">
              <w:rPr>
                <w:rFonts w:asciiTheme="majorHAnsi" w:eastAsia="Calibri" w:hAnsiTheme="majorHAnsi"/>
                <w:b/>
                <w:bCs/>
                <w:sz w:val="20"/>
                <w:szCs w:val="18"/>
              </w:rPr>
              <w:t>Residuos Sólidos</w:t>
            </w: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Restos de Tubería de Polietileno</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Viruta plástica</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Bolsa plástica</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fotográfico de recolección y contenedores en obra</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acta de entrega de residuos</w:t>
            </w:r>
          </w:p>
        </w:tc>
      </w:tr>
      <w:tr w:rsidR="000B5773" w:rsidRPr="008710E5" w:rsidTr="008A4F62">
        <w:tc>
          <w:tcPr>
            <w:tcW w:w="1838" w:type="dxa"/>
            <w:vMerge/>
            <w:shd w:val="clear" w:color="auto" w:fill="DBE5F1"/>
            <w:vAlign w:val="center"/>
          </w:tcPr>
          <w:p w:rsidR="000B5773" w:rsidRPr="008710E5" w:rsidRDefault="000B5773" w:rsidP="008A4F62">
            <w:pPr>
              <w:rPr>
                <w:rFonts w:asciiTheme="majorHAnsi" w:eastAsia="Calibri" w:hAnsiTheme="majorHAnsi"/>
                <w:b/>
                <w:bCs/>
                <w:sz w:val="20"/>
                <w:szCs w:val="18"/>
              </w:rPr>
            </w:pPr>
          </w:p>
        </w:tc>
        <w:tc>
          <w:tcPr>
            <w:tcW w:w="1418" w:type="dxa"/>
            <w:vMerge w:val="restart"/>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Residuos comunes</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 xml:space="preserve">Registro fotográfico de contenedores </w:t>
            </w:r>
          </w:p>
        </w:tc>
      </w:tr>
      <w:tr w:rsidR="000B5773" w:rsidRPr="008710E5" w:rsidTr="008A4F62">
        <w:tc>
          <w:tcPr>
            <w:tcW w:w="1838" w:type="dxa"/>
            <w:vMerge/>
            <w:shd w:val="clear" w:color="auto" w:fill="auto"/>
            <w:vAlign w:val="center"/>
          </w:tcPr>
          <w:p w:rsidR="000B5773" w:rsidRPr="008710E5" w:rsidRDefault="000B5773" w:rsidP="008A4F62">
            <w:pPr>
              <w:rPr>
                <w:rFonts w:asciiTheme="majorHAnsi" w:eastAsia="Calibri" w:hAnsiTheme="majorHAnsi"/>
                <w:b/>
                <w:bCs/>
                <w:sz w:val="20"/>
                <w:szCs w:val="18"/>
              </w:rPr>
            </w:pPr>
          </w:p>
        </w:tc>
        <w:tc>
          <w:tcPr>
            <w:tcW w:w="1418" w:type="dxa"/>
            <w:vMerge/>
            <w:shd w:val="clear" w:color="auto" w:fill="auto"/>
            <w:vAlign w:val="center"/>
          </w:tcPr>
          <w:p w:rsidR="000B5773" w:rsidRPr="008710E5" w:rsidRDefault="000B5773" w:rsidP="008A4F62">
            <w:pPr>
              <w:rPr>
                <w:rFonts w:asciiTheme="majorHAnsi" w:eastAsia="Calibri" w:hAnsiTheme="majorHAnsi"/>
                <w:sz w:val="20"/>
                <w:szCs w:val="18"/>
              </w:rPr>
            </w:pPr>
          </w:p>
        </w:tc>
        <w:tc>
          <w:tcPr>
            <w:tcW w:w="5528" w:type="dxa"/>
            <w:shd w:val="clear" w:color="auto" w:fill="auto"/>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Actas de entrega a reciclaje si corresponde</w:t>
            </w:r>
          </w:p>
        </w:tc>
      </w:tr>
      <w:tr w:rsidR="000B5773" w:rsidRPr="008710E5" w:rsidTr="008A4F62">
        <w:tc>
          <w:tcPr>
            <w:tcW w:w="1838" w:type="dxa"/>
            <w:shd w:val="clear" w:color="auto" w:fill="DBE5F1"/>
            <w:vAlign w:val="center"/>
          </w:tcPr>
          <w:p w:rsidR="000B5773" w:rsidRPr="008710E5" w:rsidRDefault="000B5773" w:rsidP="008A4F62">
            <w:pPr>
              <w:rPr>
                <w:rFonts w:asciiTheme="majorHAnsi" w:eastAsia="Calibri" w:hAnsiTheme="majorHAnsi"/>
                <w:b/>
                <w:bCs/>
                <w:sz w:val="20"/>
                <w:szCs w:val="18"/>
              </w:rPr>
            </w:pPr>
            <w:r w:rsidRPr="008710E5">
              <w:rPr>
                <w:rFonts w:asciiTheme="majorHAnsi" w:eastAsia="Calibri" w:hAnsiTheme="majorHAnsi"/>
                <w:b/>
                <w:bCs/>
                <w:sz w:val="20"/>
                <w:szCs w:val="18"/>
              </w:rPr>
              <w:t>Control de calidad de Aire</w:t>
            </w:r>
          </w:p>
        </w:tc>
        <w:tc>
          <w:tcPr>
            <w:tcW w:w="141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Generación de gases de combustión</w:t>
            </w:r>
          </w:p>
        </w:tc>
        <w:tc>
          <w:tcPr>
            <w:tcW w:w="5528" w:type="dxa"/>
            <w:shd w:val="clear" w:color="auto" w:fill="DBE5F1"/>
            <w:vAlign w:val="center"/>
          </w:tcPr>
          <w:p w:rsidR="000B5773" w:rsidRPr="008710E5" w:rsidRDefault="000B5773" w:rsidP="008A4F62">
            <w:pPr>
              <w:rPr>
                <w:rFonts w:asciiTheme="majorHAnsi" w:eastAsia="Calibri" w:hAnsiTheme="majorHAnsi"/>
                <w:sz w:val="20"/>
                <w:szCs w:val="18"/>
              </w:rPr>
            </w:pPr>
            <w:r w:rsidRPr="008710E5">
              <w:rPr>
                <w:rFonts w:asciiTheme="majorHAnsi" w:eastAsia="Calibri" w:hAnsiTheme="majorHAnsi"/>
                <w:sz w:val="20"/>
                <w:szCs w:val="18"/>
              </w:rPr>
              <w:t>Registro o Planillas de mantenimiento de vehículos</w:t>
            </w:r>
          </w:p>
        </w:tc>
      </w:tr>
    </w:tbl>
    <w:p w:rsidR="000B5773" w:rsidRPr="008710E5" w:rsidRDefault="000B5773" w:rsidP="000B5773">
      <w:pPr>
        <w:pStyle w:val="Prrafodelista"/>
        <w:spacing w:after="160"/>
        <w:ind w:left="360"/>
        <w:contextualSpacing/>
        <w:jc w:val="both"/>
        <w:outlineLvl w:val="0"/>
        <w:rPr>
          <w:rFonts w:asciiTheme="majorHAnsi" w:hAnsiTheme="majorHAnsi"/>
          <w:b/>
          <w:sz w:val="20"/>
          <w:szCs w:val="18"/>
        </w:rPr>
      </w:pPr>
      <w:bookmarkStart w:id="15" w:name="_Toc415581376"/>
    </w:p>
    <w:p w:rsidR="000B5773" w:rsidRPr="008710E5" w:rsidRDefault="000B5773" w:rsidP="000B5773">
      <w:pPr>
        <w:pStyle w:val="Prrafodelista"/>
        <w:numPr>
          <w:ilvl w:val="0"/>
          <w:numId w:val="3"/>
        </w:numPr>
        <w:spacing w:after="160"/>
        <w:contextualSpacing/>
        <w:jc w:val="both"/>
        <w:outlineLvl w:val="0"/>
        <w:rPr>
          <w:rFonts w:asciiTheme="majorHAnsi" w:hAnsiTheme="majorHAnsi"/>
          <w:b/>
          <w:sz w:val="20"/>
          <w:szCs w:val="18"/>
        </w:rPr>
      </w:pPr>
      <w:r w:rsidRPr="008710E5">
        <w:rPr>
          <w:rFonts w:asciiTheme="majorHAnsi" w:hAnsiTheme="majorHAnsi"/>
          <w:b/>
          <w:sz w:val="20"/>
          <w:szCs w:val="18"/>
        </w:rPr>
        <w:t>Gestión Ambiental en Campamentos</w:t>
      </w:r>
      <w:bookmarkEnd w:id="15"/>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6" w:name="_Toc415581377"/>
      <w:r w:rsidRPr="008710E5">
        <w:rPr>
          <w:rFonts w:asciiTheme="majorHAnsi" w:hAnsiTheme="majorHAnsi"/>
          <w:b/>
          <w:sz w:val="20"/>
          <w:szCs w:val="18"/>
        </w:rPr>
        <w:t>Condiciones para Ubicación</w:t>
      </w:r>
      <w:bookmarkEnd w:id="16"/>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Se deberán ubicar campamentos en áreas despejadas y/o previamente intervenidas y con bajo riesgo de erosión, la ubicación debe ser en lo posible accesible por vías existentes. Se deberá contar con la aprobación de supervisión sobre el sitio seleccionado antes de la construcción o montaje de campamentos.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Preferentemente se debe contar con un área específica para almacenamiento de combustible y sustancias peligrosas.</w:t>
      </w:r>
    </w:p>
    <w:p w:rsidR="000B5773" w:rsidRPr="008710E5" w:rsidRDefault="000B5773" w:rsidP="000B5773">
      <w:pPr>
        <w:pStyle w:val="Prrafodelista"/>
        <w:numPr>
          <w:ilvl w:val="1"/>
          <w:numId w:val="3"/>
        </w:numPr>
        <w:spacing w:after="160" w:line="276" w:lineRule="auto"/>
        <w:contextualSpacing/>
        <w:jc w:val="both"/>
        <w:outlineLvl w:val="0"/>
        <w:rPr>
          <w:rFonts w:asciiTheme="majorHAnsi" w:hAnsiTheme="majorHAnsi"/>
          <w:b/>
          <w:sz w:val="20"/>
          <w:szCs w:val="18"/>
        </w:rPr>
      </w:pPr>
      <w:bookmarkStart w:id="17" w:name="_Toc415581378"/>
      <w:r w:rsidRPr="008710E5">
        <w:rPr>
          <w:rFonts w:asciiTheme="majorHAnsi" w:hAnsiTheme="majorHAnsi"/>
          <w:b/>
          <w:sz w:val="20"/>
          <w:szCs w:val="18"/>
        </w:rPr>
        <w:t>Gestión de Residuos Sólidos en Campamentos</w:t>
      </w:r>
      <w:bookmarkEnd w:id="17"/>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Dependiendo el tiempo de ejecución de obra y la ubicación del campamento, la empresa contratista deberá habilitar una fosa para la disposición de los residuos sólidos domésticos.  Se deberá presentar al Supervisor el diseño y ubicación de la fosa de residuos sólidos, diseño que debe considerar la ubicación de la fosa, el volumen estimado de residuos, la impermeabilización de sus paredes y otros aspectos técnicos.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Si el tiempo no sobrepasa los 3 meses, la contratista podrá disponer de contenedores diferenciados para la disposición temporal de sus residuos sólidos, de los cuales los residuos no reciclables ni reutilizables deberán ser entregados a la empresa de aseo municipal más cercana con una periodicidad no menor a una semana. Los contenedores de residuos deben estar en pedestales y deben contar con tapa para evitar su dispersión, esta opción debe ser justificada y aprobada por supervisión</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Se deberán instalar contenedores en diferentes secciones del campamento (cocina, comedor, habitaciones, baños y oficinas, el número de recipientes estará en una del número de trabajadores en el campamento.  </w:t>
      </w:r>
    </w:p>
    <w:p w:rsidR="000B5773"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Se dispondrá de sitios adecuados para todos los residuos citados, para su almacenamiento temporal cumpliendo con la señalización ventilación y techado adecuados.</w:t>
      </w:r>
    </w:p>
    <w:p w:rsidR="00222AF9" w:rsidRPr="008710E5" w:rsidRDefault="00222AF9" w:rsidP="000B5773">
      <w:pPr>
        <w:spacing w:line="276" w:lineRule="auto"/>
        <w:jc w:val="both"/>
        <w:rPr>
          <w:rFonts w:asciiTheme="majorHAnsi" w:hAnsiTheme="majorHAnsi"/>
          <w:sz w:val="20"/>
          <w:szCs w:val="18"/>
        </w:rPr>
      </w:pPr>
    </w:p>
    <w:p w:rsidR="000B5773" w:rsidRPr="008710E5" w:rsidRDefault="000B5773" w:rsidP="000B5773">
      <w:pPr>
        <w:jc w:val="both"/>
        <w:rPr>
          <w:rFonts w:asciiTheme="majorHAnsi" w:hAnsiTheme="majorHAnsi"/>
          <w:sz w:val="20"/>
          <w:szCs w:val="18"/>
        </w:rPr>
      </w:pP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8" w:name="_Toc415581379"/>
      <w:r w:rsidRPr="008710E5">
        <w:rPr>
          <w:rFonts w:asciiTheme="majorHAnsi" w:hAnsiTheme="majorHAnsi"/>
          <w:b/>
          <w:sz w:val="20"/>
          <w:szCs w:val="18"/>
        </w:rPr>
        <w:lastRenderedPageBreak/>
        <w:t>Gestión de Descargas hídricas</w:t>
      </w:r>
      <w:bookmarkEnd w:id="18"/>
    </w:p>
    <w:p w:rsidR="000B5773" w:rsidRDefault="000B5773" w:rsidP="000B5773">
      <w:pPr>
        <w:spacing w:after="240" w:line="276" w:lineRule="auto"/>
        <w:jc w:val="both"/>
        <w:rPr>
          <w:rFonts w:asciiTheme="majorHAnsi" w:hAnsiTheme="majorHAnsi"/>
          <w:sz w:val="20"/>
          <w:szCs w:val="18"/>
        </w:rPr>
      </w:pPr>
      <w:r w:rsidRPr="008710E5">
        <w:rPr>
          <w:rFonts w:asciiTheme="majorHAnsi" w:hAnsiTheme="majorHAnsi"/>
          <w:sz w:val="20"/>
          <w:szCs w:val="18"/>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en el área o la construcción de baños temporales con un sistema adecuado aprobado por supervisión, todo vertimiento de aguas residuales debe realizarse en lugares elegidos y aprobados por supervisión.</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19" w:name="_Toc415581380"/>
      <w:r w:rsidRPr="008710E5">
        <w:rPr>
          <w:rFonts w:asciiTheme="majorHAnsi" w:hAnsiTheme="majorHAnsi"/>
          <w:b/>
          <w:sz w:val="20"/>
          <w:szCs w:val="18"/>
        </w:rPr>
        <w:t>Almacenamiento de combustibles</w:t>
      </w:r>
      <w:bookmarkEnd w:id="19"/>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Se contará con un sitio específico para almacenamiento de combustibles donde se implementarán medidas de protección para evitar derrames; de ocurrir un derrame accidental se tomarán acciones inmediatas para limpiar y restaurar el área.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Si en el sitio se habrían producido derrames de hidrocarburos, grasas y/o aceites, correrá por cuenta del contratista el costo que represente la limpieza y recuperación del suelo, aplicando la metodología aprobada por la Supervisión.</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Si el mantenimiento de los vehículos se realiza en el área de Proyecto comprendida, el contratista deberá proveer de condiciones y herramientas para la actividad en cuestión.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Las grasas y los aceites lubricantes se recolectarán y almacenarán para su posterior transporte y entrega a una empresa especializada en re-refinación, autorizada por el Ministerio de Hidrocarburos. </w:t>
      </w:r>
    </w:p>
    <w:p w:rsidR="000B5773" w:rsidRPr="008710E5" w:rsidRDefault="000B5773" w:rsidP="000B5773">
      <w:pPr>
        <w:jc w:val="both"/>
        <w:rPr>
          <w:rFonts w:asciiTheme="majorHAnsi" w:hAnsiTheme="majorHAnsi"/>
          <w:sz w:val="20"/>
          <w:szCs w:val="18"/>
        </w:rPr>
      </w:pPr>
      <w:r w:rsidRPr="008710E5">
        <w:rPr>
          <w:rFonts w:asciiTheme="majorHAnsi" w:hAnsiTheme="majorHAnsi"/>
          <w:sz w:val="20"/>
          <w:szCs w:val="18"/>
        </w:rPr>
        <w:t xml:space="preserve"> </w:t>
      </w:r>
    </w:p>
    <w:p w:rsidR="000B5773" w:rsidRPr="008710E5" w:rsidRDefault="000B5773" w:rsidP="000B5773">
      <w:pPr>
        <w:pStyle w:val="Prrafodelista"/>
        <w:numPr>
          <w:ilvl w:val="1"/>
          <w:numId w:val="3"/>
        </w:numPr>
        <w:spacing w:after="160"/>
        <w:contextualSpacing/>
        <w:jc w:val="both"/>
        <w:outlineLvl w:val="0"/>
        <w:rPr>
          <w:rFonts w:asciiTheme="majorHAnsi" w:hAnsiTheme="majorHAnsi"/>
          <w:b/>
          <w:sz w:val="20"/>
          <w:szCs w:val="18"/>
        </w:rPr>
      </w:pPr>
      <w:bookmarkStart w:id="20" w:name="_Toc415581381"/>
      <w:r w:rsidRPr="008710E5">
        <w:rPr>
          <w:rFonts w:asciiTheme="majorHAnsi" w:hAnsiTheme="majorHAnsi"/>
          <w:b/>
          <w:sz w:val="20"/>
          <w:szCs w:val="18"/>
        </w:rPr>
        <w:t>Generación de Registros</w:t>
      </w:r>
      <w:bookmarkEnd w:id="20"/>
    </w:p>
    <w:p w:rsidR="000B5773" w:rsidRPr="008710E5" w:rsidRDefault="000B5773" w:rsidP="000B5773">
      <w:pPr>
        <w:spacing w:line="276" w:lineRule="auto"/>
        <w:jc w:val="both"/>
        <w:rPr>
          <w:rFonts w:asciiTheme="majorHAnsi" w:hAnsiTheme="majorHAnsi"/>
          <w:sz w:val="20"/>
          <w:szCs w:val="18"/>
        </w:rPr>
      </w:pPr>
      <w:r w:rsidRPr="008710E5">
        <w:rPr>
          <w:rFonts w:asciiTheme="majorHAnsi" w:hAnsiTheme="majorHAnsi"/>
          <w:sz w:val="20"/>
          <w:szCs w:val="18"/>
        </w:rPr>
        <w:t xml:space="preserve">El cumplimiento de todos los requisitos y recomendaciones para campamentos será demostrado mediante registros fotográficos, por lo que la empresa deberá presentar en los informes ambientales el cumplimiento de lo solicitado en el manual, se presenta un resumen de los registros solicitados en caso de existir campamentos: </w:t>
      </w:r>
    </w:p>
    <w:p w:rsidR="000B5773" w:rsidRPr="008710E5" w:rsidRDefault="000B5773" w:rsidP="000B5773">
      <w:pPr>
        <w:spacing w:line="276" w:lineRule="auto"/>
        <w:jc w:val="both"/>
        <w:rPr>
          <w:rFonts w:asciiTheme="majorHAnsi" w:hAnsiTheme="majorHAnsi"/>
          <w:sz w:val="20"/>
          <w:szCs w:val="18"/>
        </w:rPr>
      </w:pPr>
    </w:p>
    <w:p w:rsidR="00222AF9" w:rsidRDefault="00222AF9">
      <w:pPr>
        <w:spacing w:after="160" w:line="259" w:lineRule="auto"/>
        <w:rPr>
          <w:rFonts w:asciiTheme="majorHAnsi" w:hAnsiTheme="majorHAnsi"/>
          <w:b/>
          <w:sz w:val="20"/>
          <w:szCs w:val="18"/>
        </w:rPr>
      </w:pPr>
      <w:r>
        <w:rPr>
          <w:rFonts w:asciiTheme="majorHAnsi" w:hAnsiTheme="majorHAnsi"/>
          <w:b/>
          <w:sz w:val="20"/>
          <w:szCs w:val="18"/>
        </w:rPr>
        <w:br w:type="page"/>
      </w:r>
    </w:p>
    <w:p w:rsidR="000B5773" w:rsidRPr="008710E5" w:rsidRDefault="000B5773" w:rsidP="000B5773">
      <w:pPr>
        <w:spacing w:after="240"/>
        <w:jc w:val="center"/>
        <w:rPr>
          <w:rFonts w:asciiTheme="majorHAnsi" w:hAnsiTheme="majorHAnsi"/>
          <w:b/>
          <w:sz w:val="20"/>
          <w:szCs w:val="18"/>
        </w:rPr>
      </w:pPr>
      <w:r w:rsidRPr="008710E5">
        <w:rPr>
          <w:rFonts w:asciiTheme="majorHAnsi" w:hAnsiTheme="majorHAnsi"/>
          <w:b/>
          <w:sz w:val="20"/>
          <w:szCs w:val="18"/>
        </w:rPr>
        <w:lastRenderedPageBreak/>
        <w:t>Tabla 5: Registros a generar para Campamentos</w:t>
      </w:r>
    </w:p>
    <w:tbl>
      <w:tblPr>
        <w:tblW w:w="8500"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838"/>
        <w:gridCol w:w="6662"/>
      </w:tblGrid>
      <w:tr w:rsidR="000B5773" w:rsidRPr="008710E5" w:rsidTr="008A4F62">
        <w:trPr>
          <w:jc w:val="center"/>
        </w:trPr>
        <w:tc>
          <w:tcPr>
            <w:tcW w:w="1838" w:type="dxa"/>
            <w:tcBorders>
              <w:top w:val="single" w:sz="4" w:space="0" w:color="4F81BD"/>
              <w:left w:val="single" w:sz="4" w:space="0" w:color="4F81BD"/>
              <w:bottom w:val="single" w:sz="4" w:space="0" w:color="4F81BD"/>
              <w:right w:val="nil"/>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Consideración</w:t>
            </w:r>
          </w:p>
        </w:tc>
        <w:tc>
          <w:tcPr>
            <w:tcW w:w="6662" w:type="dxa"/>
            <w:tcBorders>
              <w:top w:val="single" w:sz="4" w:space="0" w:color="4F81BD"/>
              <w:left w:val="nil"/>
              <w:bottom w:val="single" w:sz="4" w:space="0" w:color="4F81BD"/>
              <w:right w:val="single" w:sz="4" w:space="0" w:color="4F81BD"/>
            </w:tcBorders>
            <w:shd w:val="clear" w:color="auto" w:fill="4F81BD"/>
            <w:vAlign w:val="center"/>
          </w:tcPr>
          <w:p w:rsidR="000B5773" w:rsidRPr="008710E5" w:rsidRDefault="000B5773" w:rsidP="008A4F62">
            <w:pPr>
              <w:jc w:val="center"/>
              <w:rPr>
                <w:rFonts w:asciiTheme="majorHAnsi" w:eastAsia="Calibri" w:hAnsiTheme="majorHAnsi"/>
                <w:b/>
                <w:bCs/>
                <w:sz w:val="18"/>
                <w:szCs w:val="18"/>
              </w:rPr>
            </w:pPr>
            <w:r w:rsidRPr="008710E5">
              <w:rPr>
                <w:rFonts w:asciiTheme="majorHAnsi" w:eastAsia="Calibri" w:hAnsiTheme="majorHAnsi"/>
                <w:b/>
                <w:bCs/>
                <w:sz w:val="18"/>
                <w:szCs w:val="18"/>
              </w:rPr>
              <w:t>Registros a Generar</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Ubicación</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Reporte con alternativas y selección de sitios y sus condiciones iniciales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Croquis o plano de planta de las instalaciones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Residuos Sólidos</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Plan de manejo de residuos comunes en campamentos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contenedores</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Actas de entrega a reciclaje si corresponde</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sitios destinados a almacenamiento de residuos generados en obras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Almacenes</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almacenes y sitios destinados a combustibles</w:t>
            </w:r>
          </w:p>
        </w:tc>
      </w:tr>
      <w:tr w:rsidR="000B5773" w:rsidRPr="008710E5" w:rsidTr="008A4F62">
        <w:trPr>
          <w:jc w:val="center"/>
        </w:trPr>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 utilización y condiciones de almacenes</w:t>
            </w:r>
          </w:p>
        </w:tc>
      </w:tr>
      <w:tr w:rsidR="000B5773" w:rsidRPr="008710E5" w:rsidTr="008A4F62">
        <w:trPr>
          <w:jc w:val="center"/>
        </w:trPr>
        <w:tc>
          <w:tcPr>
            <w:tcW w:w="1838" w:type="dxa"/>
            <w:vMerge w:val="restart"/>
            <w:shd w:val="clear" w:color="auto" w:fill="DBE5F1"/>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Gestión de Agua</w:t>
            </w: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Plan de consumo de agua y descargas líquidas</w:t>
            </w:r>
          </w:p>
        </w:tc>
      </w:tr>
      <w:tr w:rsidR="000B5773" w:rsidRPr="008710E5" w:rsidTr="008A4F62">
        <w:trPr>
          <w:jc w:val="center"/>
        </w:trPr>
        <w:tc>
          <w:tcPr>
            <w:tcW w:w="1838" w:type="dxa"/>
            <w:vMerge/>
            <w:shd w:val="clear" w:color="auto" w:fill="auto"/>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 instalaciones sanitarias </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sitios de descarga</w:t>
            </w:r>
          </w:p>
        </w:tc>
      </w:tr>
      <w:tr w:rsidR="000B5773" w:rsidRPr="008710E5" w:rsidTr="008A4F62">
        <w:trPr>
          <w:jc w:val="center"/>
        </w:trPr>
        <w:tc>
          <w:tcPr>
            <w:tcW w:w="1838" w:type="dxa"/>
            <w:vMerge w:val="restart"/>
            <w:shd w:val="clear" w:color="auto" w:fill="auto"/>
            <w:vAlign w:val="center"/>
          </w:tcPr>
          <w:p w:rsidR="000B5773" w:rsidRPr="008710E5" w:rsidRDefault="000B5773" w:rsidP="008A4F62">
            <w:pPr>
              <w:rPr>
                <w:rFonts w:asciiTheme="majorHAnsi" w:eastAsia="Calibri" w:hAnsiTheme="majorHAnsi"/>
                <w:b/>
                <w:bCs/>
                <w:sz w:val="18"/>
                <w:szCs w:val="18"/>
              </w:rPr>
            </w:pPr>
            <w:r w:rsidRPr="008710E5">
              <w:rPr>
                <w:rFonts w:asciiTheme="majorHAnsi" w:eastAsia="Calibri" w:hAnsiTheme="majorHAnsi"/>
                <w:b/>
                <w:bCs/>
                <w:sz w:val="18"/>
                <w:szCs w:val="18"/>
              </w:rPr>
              <w:t xml:space="preserve">Abandono </w:t>
            </w:r>
          </w:p>
        </w:tc>
        <w:tc>
          <w:tcPr>
            <w:tcW w:w="6662" w:type="dxa"/>
            <w:shd w:val="clear" w:color="auto" w:fill="auto"/>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 xml:space="preserve">Registro fotográfico del abandono </w:t>
            </w:r>
          </w:p>
        </w:tc>
      </w:tr>
      <w:tr w:rsidR="000B5773" w:rsidRPr="008710E5" w:rsidTr="008A4F62">
        <w:trPr>
          <w:jc w:val="center"/>
        </w:trPr>
        <w:tc>
          <w:tcPr>
            <w:tcW w:w="1838" w:type="dxa"/>
            <w:vMerge/>
            <w:shd w:val="clear" w:color="auto" w:fill="DBE5F1"/>
            <w:vAlign w:val="center"/>
          </w:tcPr>
          <w:p w:rsidR="000B5773" w:rsidRPr="008710E5" w:rsidRDefault="000B5773" w:rsidP="008A4F62">
            <w:pPr>
              <w:rPr>
                <w:rFonts w:asciiTheme="majorHAnsi" w:eastAsia="Calibri" w:hAnsiTheme="majorHAnsi"/>
                <w:b/>
                <w:bCs/>
                <w:sz w:val="18"/>
                <w:szCs w:val="18"/>
              </w:rPr>
            </w:pPr>
          </w:p>
        </w:tc>
        <w:tc>
          <w:tcPr>
            <w:tcW w:w="6662" w:type="dxa"/>
            <w:shd w:val="clear" w:color="auto" w:fill="DBE5F1"/>
            <w:vAlign w:val="center"/>
          </w:tcPr>
          <w:p w:rsidR="000B5773" w:rsidRPr="008710E5" w:rsidRDefault="000B5773" w:rsidP="008A4F62">
            <w:pPr>
              <w:rPr>
                <w:rFonts w:asciiTheme="majorHAnsi" w:eastAsia="Calibri" w:hAnsiTheme="majorHAnsi"/>
                <w:sz w:val="18"/>
                <w:szCs w:val="18"/>
              </w:rPr>
            </w:pPr>
            <w:r w:rsidRPr="008710E5">
              <w:rPr>
                <w:rFonts w:asciiTheme="majorHAnsi" w:eastAsia="Calibri" w:hAnsiTheme="majorHAnsi"/>
                <w:sz w:val="18"/>
                <w:szCs w:val="18"/>
              </w:rPr>
              <w:t>Registro fotográfico del sitio post-abandono</w:t>
            </w:r>
          </w:p>
        </w:tc>
      </w:tr>
    </w:tbl>
    <w:p w:rsidR="000B5773" w:rsidRPr="008710E5" w:rsidRDefault="000B5773" w:rsidP="000B5773">
      <w:pPr>
        <w:pStyle w:val="Prrafodelista"/>
        <w:numPr>
          <w:ilvl w:val="1"/>
          <w:numId w:val="3"/>
        </w:numPr>
        <w:contextualSpacing/>
        <w:jc w:val="both"/>
        <w:rPr>
          <w:rFonts w:asciiTheme="majorHAnsi" w:hAnsiTheme="majorHAnsi" w:cs="Arial"/>
          <w:bCs/>
          <w:sz w:val="20"/>
          <w:szCs w:val="18"/>
        </w:rPr>
      </w:pPr>
      <w:r w:rsidRPr="008710E5">
        <w:rPr>
          <w:rFonts w:asciiTheme="majorHAnsi" w:hAnsiTheme="majorHAnsi"/>
          <w:b/>
          <w:sz w:val="20"/>
          <w:szCs w:val="18"/>
        </w:rPr>
        <w:br w:type="page"/>
      </w:r>
      <w:bookmarkStart w:id="21" w:name="_Toc415581382"/>
      <w:r w:rsidRPr="008710E5">
        <w:rPr>
          <w:rFonts w:asciiTheme="majorHAnsi" w:hAnsiTheme="majorHAnsi"/>
          <w:b/>
          <w:sz w:val="20"/>
          <w:szCs w:val="18"/>
        </w:rPr>
        <w:lastRenderedPageBreak/>
        <w:t xml:space="preserve">FORMULARIO DE CONFORMIDAD DE GESTION AMBIENTAL EN OBRAS MECANICAS </w:t>
      </w:r>
      <w:r w:rsidRPr="008710E5">
        <w:rPr>
          <w:rFonts w:asciiTheme="majorHAnsi" w:hAnsiTheme="majorHAnsi"/>
          <w:noProof/>
          <w:sz w:val="20"/>
          <w:szCs w:val="18"/>
        </w:rPr>
        <w:drawing>
          <wp:anchor distT="0" distB="0" distL="114300" distR="114300" simplePos="0" relativeHeight="251661312" behindDoc="0" locked="0" layoutInCell="1" allowOverlap="1" wp14:anchorId="6C65C0D0" wp14:editId="16A2CCD3">
            <wp:simplePos x="0" y="0"/>
            <wp:positionH relativeFrom="column">
              <wp:posOffset>22860</wp:posOffset>
            </wp:positionH>
            <wp:positionV relativeFrom="paragraph">
              <wp:posOffset>368935</wp:posOffset>
            </wp:positionV>
            <wp:extent cx="5937250" cy="6238875"/>
            <wp:effectExtent l="0" t="0" r="6350" b="9525"/>
            <wp:wrapSquare wrapText="bothSides"/>
            <wp:docPr id="1834"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250" cy="623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0E5">
        <w:rPr>
          <w:rFonts w:asciiTheme="majorHAnsi" w:hAnsiTheme="majorHAnsi"/>
          <w:b/>
          <w:sz w:val="20"/>
          <w:szCs w:val="18"/>
        </w:rPr>
        <w:t>RED SECUNDARIA</w:t>
      </w:r>
      <w:bookmarkEnd w:id="21"/>
    </w:p>
    <w:p w:rsidR="00E4466C" w:rsidRPr="008710E5" w:rsidRDefault="00ED26E7">
      <w:pPr>
        <w:rPr>
          <w:rFonts w:asciiTheme="majorHAnsi" w:hAnsiTheme="majorHAnsi"/>
          <w:sz w:val="28"/>
        </w:rPr>
      </w:pPr>
      <w:bookmarkStart w:id="22" w:name="_GoBack"/>
      <w:bookmarkEnd w:id="22"/>
    </w:p>
    <w:sectPr w:rsidR="00E4466C" w:rsidRPr="008710E5">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6E7" w:rsidRDefault="00ED26E7" w:rsidP="008710E5">
      <w:r>
        <w:separator/>
      </w:r>
    </w:p>
  </w:endnote>
  <w:endnote w:type="continuationSeparator" w:id="0">
    <w:p w:rsidR="00ED26E7" w:rsidRDefault="00ED26E7"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ayout w:type="fixed"/>
      <w:tblLook w:val="04A0" w:firstRow="1" w:lastRow="0" w:firstColumn="1" w:lastColumn="0" w:noHBand="0" w:noVBand="1"/>
    </w:tblPr>
    <w:tblGrid>
      <w:gridCol w:w="4395"/>
      <w:gridCol w:w="4536"/>
    </w:tblGrid>
    <w:tr w:rsidR="00222AF9" w:rsidRPr="000810BB" w:rsidTr="00222AF9">
      <w:trPr>
        <w:trHeight w:val="81"/>
      </w:trPr>
      <w:tc>
        <w:tcPr>
          <w:tcW w:w="4395"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Elaborado por:</w:t>
          </w:r>
        </w:p>
      </w:tc>
      <w:tc>
        <w:tcPr>
          <w:tcW w:w="4536" w:type="dxa"/>
        </w:tcPr>
        <w:p w:rsidR="00222AF9" w:rsidRPr="000810BB" w:rsidRDefault="00222AF9" w:rsidP="00222AF9">
          <w:pPr>
            <w:pStyle w:val="Piedepgina"/>
            <w:rPr>
              <w:rFonts w:ascii="Calibri" w:hAnsi="Calibri"/>
              <w:sz w:val="16"/>
              <w:szCs w:val="20"/>
            </w:rPr>
          </w:pPr>
          <w:r w:rsidRPr="000810BB">
            <w:rPr>
              <w:rFonts w:ascii="Calibri" w:hAnsi="Calibri"/>
              <w:sz w:val="16"/>
              <w:szCs w:val="20"/>
            </w:rPr>
            <w:t>Aprobado por:</w:t>
          </w:r>
        </w:p>
      </w:tc>
    </w:tr>
    <w:tr w:rsidR="00222AF9" w:rsidRPr="000810BB" w:rsidTr="00222AF9">
      <w:trPr>
        <w:trHeight w:val="638"/>
      </w:trPr>
      <w:tc>
        <w:tcPr>
          <w:tcW w:w="4395" w:type="dxa"/>
        </w:tcPr>
        <w:p w:rsidR="00222AF9" w:rsidRDefault="00222AF9" w:rsidP="00222AF9">
          <w:pPr>
            <w:pStyle w:val="Piedepgina"/>
            <w:rPr>
              <w:rFonts w:ascii="Calibri" w:hAnsi="Calibri"/>
              <w:sz w:val="16"/>
              <w:szCs w:val="20"/>
            </w:rPr>
          </w:pPr>
        </w:p>
        <w:p w:rsidR="00222AF9" w:rsidRPr="000810BB" w:rsidRDefault="00222AF9" w:rsidP="00222AF9">
          <w:pPr>
            <w:pStyle w:val="Piedepgina"/>
            <w:jc w:val="center"/>
            <w:rPr>
              <w:rFonts w:ascii="Calibri" w:hAnsi="Calibri"/>
              <w:sz w:val="16"/>
              <w:szCs w:val="20"/>
            </w:rPr>
          </w:pPr>
        </w:p>
      </w:tc>
      <w:tc>
        <w:tcPr>
          <w:tcW w:w="4536" w:type="dxa"/>
        </w:tcPr>
        <w:p w:rsidR="00222AF9" w:rsidRPr="000810BB" w:rsidRDefault="00222AF9" w:rsidP="00222AF9">
          <w:pPr>
            <w:pStyle w:val="Piedepgina"/>
            <w:rPr>
              <w:rFonts w:ascii="Calibri" w:hAnsi="Calibri"/>
              <w:sz w:val="16"/>
              <w:szCs w:val="20"/>
            </w:rPr>
          </w:pPr>
        </w:p>
        <w:p w:rsidR="00222AF9" w:rsidRDefault="00222AF9" w:rsidP="00222AF9">
          <w:pPr>
            <w:pStyle w:val="Piedepgina"/>
            <w:jc w:val="center"/>
            <w:rPr>
              <w:rFonts w:ascii="Calibri" w:hAnsi="Calibri"/>
              <w:noProof/>
              <w:sz w:val="16"/>
              <w:szCs w:val="20"/>
              <w:lang w:val="es-BO" w:eastAsia="es-BO"/>
            </w:rPr>
          </w:pPr>
        </w:p>
        <w:p w:rsidR="00222AF9" w:rsidRPr="000810BB" w:rsidRDefault="00222AF9" w:rsidP="00222AF9">
          <w:pPr>
            <w:pStyle w:val="Piedepgina"/>
            <w:jc w:val="center"/>
            <w:rPr>
              <w:rFonts w:ascii="Calibri" w:hAnsi="Calibri"/>
              <w:sz w:val="16"/>
              <w:szCs w:val="20"/>
            </w:rPr>
          </w:pPr>
        </w:p>
      </w:tc>
    </w:tr>
    <w:tr w:rsidR="00222AF9" w:rsidRPr="000810BB" w:rsidTr="00222AF9">
      <w:trPr>
        <w:trHeight w:val="629"/>
      </w:trPr>
      <w:tc>
        <w:tcPr>
          <w:tcW w:w="4395"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4536" w:type="dxa"/>
          <w:vAlign w:val="center"/>
        </w:tcPr>
        <w:p w:rsidR="00222AF9" w:rsidRPr="00A97A89" w:rsidRDefault="00222AF9" w:rsidP="00222AF9">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222AF9" w:rsidRPr="00A97A89" w:rsidRDefault="00222AF9" w:rsidP="00222AF9">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222AF9" w:rsidRPr="00D2648D" w:rsidRDefault="00222AF9" w:rsidP="00222AF9">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882E1E" w:rsidRDefault="00882E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6E7" w:rsidRDefault="00ED26E7" w:rsidP="008710E5">
      <w:r>
        <w:separator/>
      </w:r>
    </w:p>
  </w:footnote>
  <w:footnote w:type="continuationSeparator" w:id="0">
    <w:p w:rsidR="00ED26E7" w:rsidRDefault="00ED26E7"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222AF9" w:rsidRPr="00FA0D94" w:rsidTr="00222AF9">
      <w:tc>
        <w:tcPr>
          <w:tcW w:w="1446" w:type="dxa"/>
          <w:vMerge w:val="restart"/>
          <w:vAlign w:val="center"/>
        </w:tcPr>
        <w:p w:rsidR="00222AF9" w:rsidRPr="00FA0D94" w:rsidRDefault="00222AF9" w:rsidP="00222AF9">
          <w:pPr>
            <w:pStyle w:val="Encabezado"/>
            <w:rPr>
              <w:rFonts w:ascii="Arial Narrow" w:eastAsia="Arial Unicode MS" w:hAnsi="Arial Narrow"/>
              <w:szCs w:val="12"/>
              <w:lang w:val="es-MX"/>
            </w:rPr>
          </w:pPr>
          <w:r w:rsidRPr="00454F7C">
            <w:rPr>
              <w:noProof/>
            </w:rPr>
            <w:drawing>
              <wp:inline distT="0" distB="0" distL="0" distR="0" wp14:anchorId="5C048952" wp14:editId="351506E6">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222AF9" w:rsidRPr="001D39CF" w:rsidRDefault="00222AF9" w:rsidP="00222AF9">
          <w:pPr>
            <w:pStyle w:val="Encabezado"/>
            <w:jc w:val="center"/>
            <w:rPr>
              <w:rFonts w:ascii="Calibri" w:eastAsia="Arial Unicode MS" w:hAnsi="Calibri" w:cs="Calibri"/>
              <w:b/>
              <w:sz w:val="18"/>
              <w:szCs w:val="18"/>
              <w:lang w:val="es-MX"/>
            </w:rPr>
          </w:pPr>
          <w:r w:rsidRPr="001D39CF">
            <w:rPr>
              <w:rFonts w:ascii="Calibri" w:eastAsia="Arial Unicode MS" w:hAnsi="Calibri" w:cs="Calibri"/>
              <w:b/>
              <w:sz w:val="18"/>
              <w:szCs w:val="18"/>
              <w:lang w:val="es-MX"/>
            </w:rPr>
            <w:t>UNIDAD SOLICITANTE: DISTRITO DE REDES DE GAS ORURO</w:t>
          </w:r>
        </w:p>
        <w:p w:rsidR="00222AF9" w:rsidRPr="0076024C" w:rsidRDefault="00222AF9" w:rsidP="00222AF9">
          <w:pPr>
            <w:pStyle w:val="Encabezado"/>
            <w:jc w:val="center"/>
            <w:rPr>
              <w:rFonts w:ascii="Calibri" w:eastAsia="Arial Unicode MS" w:hAnsi="Calibri" w:cs="Calibri"/>
              <w:szCs w:val="12"/>
              <w:lang w:val="es-MX"/>
            </w:rPr>
          </w:pPr>
          <w:r w:rsidRPr="001D39CF">
            <w:rPr>
              <w:rFonts w:ascii="Calibri" w:eastAsia="Arial Unicode MS" w:hAnsi="Calibri" w:cs="Calibri"/>
              <w:b/>
              <w:sz w:val="18"/>
              <w:szCs w:val="18"/>
              <w:lang w:val="es-MX"/>
            </w:rPr>
            <w:t>UNIDAD DISTRITAL DE OPERACIÓN Y MANTENIMIENTO ORURO</w:t>
          </w:r>
        </w:p>
      </w:tc>
      <w:tc>
        <w:tcPr>
          <w:tcW w:w="1134" w:type="dxa"/>
          <w:vAlign w:val="center"/>
        </w:tcPr>
        <w:p w:rsidR="00222AF9" w:rsidRPr="0076024C" w:rsidRDefault="00222AF9" w:rsidP="00222AF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22AF9" w:rsidRDefault="00222AF9" w:rsidP="00222AF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222AF9" w:rsidRPr="0076024C" w:rsidRDefault="00222AF9" w:rsidP="00222AF9">
          <w:pPr>
            <w:pStyle w:val="Encabezado"/>
            <w:jc w:val="center"/>
            <w:rPr>
              <w:rFonts w:ascii="Calibri" w:eastAsia="Arial Unicode MS" w:hAnsi="Calibri" w:cs="Arial"/>
              <w:b/>
              <w:sz w:val="14"/>
              <w:szCs w:val="14"/>
              <w:lang w:val="es-MX"/>
            </w:rPr>
          </w:pPr>
        </w:p>
      </w:tc>
    </w:tr>
    <w:tr w:rsidR="00222AF9" w:rsidRPr="00FA0D94" w:rsidTr="00222AF9">
      <w:trPr>
        <w:trHeight w:val="478"/>
      </w:trPr>
      <w:tc>
        <w:tcPr>
          <w:tcW w:w="1446" w:type="dxa"/>
          <w:vMerge/>
          <w:vAlign w:val="center"/>
        </w:tcPr>
        <w:p w:rsidR="00222AF9" w:rsidRPr="00FA0D94" w:rsidRDefault="00222AF9" w:rsidP="00222AF9">
          <w:pPr>
            <w:pStyle w:val="Encabezado"/>
            <w:jc w:val="center"/>
            <w:rPr>
              <w:rFonts w:ascii="Arial Narrow" w:eastAsia="Arial Unicode MS" w:hAnsi="Arial Narrow"/>
              <w:szCs w:val="12"/>
              <w:lang w:val="es-MX"/>
            </w:rPr>
          </w:pPr>
        </w:p>
      </w:tc>
      <w:tc>
        <w:tcPr>
          <w:tcW w:w="6209" w:type="dxa"/>
          <w:vAlign w:val="center"/>
        </w:tcPr>
        <w:p w:rsidR="00222AF9" w:rsidRPr="0076024C" w:rsidRDefault="00222AF9" w:rsidP="00222AF9">
          <w:pPr>
            <w:pStyle w:val="Encabezado"/>
            <w:jc w:val="center"/>
            <w:rPr>
              <w:rFonts w:ascii="Calibri" w:eastAsia="Arial Unicode MS" w:hAnsi="Calibri" w:cs="Calibri"/>
              <w:szCs w:val="12"/>
              <w:lang w:val="es-MX"/>
            </w:rPr>
          </w:pPr>
          <w:r w:rsidRPr="001D39CF">
            <w:rPr>
              <w:rFonts w:ascii="Calibri" w:eastAsia="Arial Unicode MS" w:hAnsi="Calibri" w:cs="Calibri"/>
              <w:b/>
              <w:sz w:val="18"/>
              <w:szCs w:val="18"/>
              <w:lang w:val="es-MX"/>
            </w:rPr>
            <w:t xml:space="preserve">OBRAS CIVILES PARA PROFUNDIZACION Y VARIANTES DE RED SECUNDARIA Y ACOMETIDAS (FASE I)  </w:t>
          </w:r>
        </w:p>
      </w:tc>
      <w:tc>
        <w:tcPr>
          <w:tcW w:w="1134" w:type="dxa"/>
          <w:vAlign w:val="center"/>
        </w:tcPr>
        <w:p w:rsidR="00222AF9" w:rsidRPr="0076024C" w:rsidRDefault="00222AF9" w:rsidP="00222AF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22AF9" w:rsidRPr="0076024C" w:rsidRDefault="00222AF9" w:rsidP="00222AF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116D0">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116D0">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B5773"/>
    <w:rsid w:val="001C09E2"/>
    <w:rsid w:val="00222AF9"/>
    <w:rsid w:val="0038508D"/>
    <w:rsid w:val="008710E5"/>
    <w:rsid w:val="00882E1E"/>
    <w:rsid w:val="00973777"/>
    <w:rsid w:val="00A116D0"/>
    <w:rsid w:val="00A26F09"/>
    <w:rsid w:val="00A927BB"/>
    <w:rsid w:val="00A95662"/>
    <w:rsid w:val="00C3101D"/>
    <w:rsid w:val="00DD518D"/>
    <w:rsid w:val="00ED26E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4">
    <w:name w:val="heading 4"/>
    <w:basedOn w:val="Normal"/>
    <w:next w:val="Normal"/>
    <w:link w:val="Ttulo4Car"/>
    <w:uiPriority w:val="9"/>
    <w:semiHidden/>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uiPriority w:val="9"/>
    <w:rsid w:val="00C3101D"/>
    <w:rPr>
      <w:rFonts w:asciiTheme="majorHAnsi" w:eastAsiaTheme="majorEastAsia" w:hAnsiTheme="majorHAnsi" w:cstheme="majorBidi"/>
      <w:i/>
      <w:iCs/>
      <w:color w:val="2E74B5" w:themeColor="accent1" w:themeShade="BF"/>
      <w:sz w:val="24"/>
      <w:szCs w:val="24"/>
      <w:lang w:val="es-ES" w:eastAsia="es-ES"/>
    </w:rPr>
  </w:style>
  <w:style w:type="table" w:styleId="Tablaconcuadrcula">
    <w:name w:val="Table Grid"/>
    <w:basedOn w:val="Tablanormal"/>
    <w:uiPriority w:val="39"/>
    <w:rsid w:val="00A26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22A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2AF9"/>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4278</Words>
  <Characters>23533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2</cp:revision>
  <cp:lastPrinted>2016-04-07T16:12:00Z</cp:lastPrinted>
  <dcterms:created xsi:type="dcterms:W3CDTF">2016-04-07T16:17:00Z</dcterms:created>
  <dcterms:modified xsi:type="dcterms:W3CDTF">2016-04-07T16:17:00Z</dcterms:modified>
</cp:coreProperties>
</file>