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8F7" w:rsidRPr="00662D83" w:rsidRDefault="001058F7" w:rsidP="001058F7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</w:p>
    <w:p w:rsidR="001058F7" w:rsidRPr="00662D83" w:rsidRDefault="001058F7" w:rsidP="001058F7">
      <w:pPr>
        <w:pStyle w:val="Ttulo1"/>
        <w:spacing w:line="276" w:lineRule="auto"/>
        <w:rPr>
          <w:rStyle w:val="nfasis"/>
          <w:rFonts w:asciiTheme="minorHAnsi" w:hAnsiTheme="minorHAnsi" w:cs="Arial"/>
          <w:i/>
          <w:iCs w:val="0"/>
          <w:sz w:val="22"/>
          <w:szCs w:val="22"/>
        </w:rPr>
      </w:pPr>
      <w:bookmarkStart w:id="0" w:name="_Toc328390876"/>
      <w:r w:rsidRPr="00662D83">
        <w:rPr>
          <w:rFonts w:asciiTheme="minorHAnsi" w:hAnsiTheme="minorHAnsi" w:cs="Arial"/>
          <w:i/>
          <w:sz w:val="22"/>
          <w:szCs w:val="22"/>
        </w:rPr>
        <w:t>ALCANCE DE LOS TRABAJOS</w:t>
      </w:r>
      <w:bookmarkEnd w:id="0"/>
      <w:r w:rsidRPr="00662D83">
        <w:rPr>
          <w:rFonts w:asciiTheme="minorHAnsi" w:hAnsiTheme="minorHAnsi" w:cs="Arial"/>
          <w:i/>
          <w:sz w:val="22"/>
          <w:szCs w:val="22"/>
        </w:rPr>
        <w:t xml:space="preserve">  </w:t>
      </w:r>
    </w:p>
    <w:p w:rsidR="001058F7" w:rsidRPr="00662D83" w:rsidRDefault="001058F7" w:rsidP="001058F7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  <w:r w:rsidRPr="00662D83">
        <w:rPr>
          <w:rFonts w:asciiTheme="minorHAnsi" w:hAnsiTheme="minorHAnsi" w:cs="Arial"/>
          <w:i/>
          <w:sz w:val="22"/>
          <w:szCs w:val="22"/>
        </w:rPr>
        <w:t xml:space="preserve">Los trabajos consistirán en realizar la instalación de los sistemas de aterramiento (jabalinas y conductores) para las Estaciones Distritales de Regulación </w:t>
      </w:r>
      <w:proofErr w:type="spellStart"/>
      <w:r w:rsidRPr="00662D83">
        <w:rPr>
          <w:rFonts w:asciiTheme="minorHAnsi" w:hAnsiTheme="minorHAnsi" w:cs="Arial"/>
          <w:i/>
          <w:sz w:val="22"/>
          <w:szCs w:val="22"/>
        </w:rPr>
        <w:t>EDRs</w:t>
      </w:r>
      <w:proofErr w:type="spellEnd"/>
      <w:r w:rsidRPr="00662D83">
        <w:rPr>
          <w:rFonts w:asciiTheme="minorHAnsi" w:hAnsiTheme="minorHAnsi" w:cs="Arial"/>
          <w:i/>
          <w:sz w:val="22"/>
          <w:szCs w:val="22"/>
        </w:rPr>
        <w:t xml:space="preserve"> (estructura de soporte, estructura del EDR y el enmallado de la caseta de protección) alcanzando una resistencia de aterramiento de 5 [ohm] o menor, esta instalación del Sistema de Puesta a Tierra (SPAT) y la interconexión entre jabalinas y conductores se realizará mediante cable desnudo  de cobre AWG No.2 y </w:t>
      </w:r>
      <w:r w:rsidRPr="00662D83">
        <w:rPr>
          <w:rFonts w:asciiTheme="minorHAnsi" w:hAnsiTheme="minorHAnsi" w:cs="Arial"/>
          <w:b/>
          <w:i/>
          <w:sz w:val="22"/>
          <w:szCs w:val="22"/>
          <w:u w:val="single"/>
        </w:rPr>
        <w:t xml:space="preserve">soldadura </w:t>
      </w:r>
      <w:proofErr w:type="spellStart"/>
      <w:r w:rsidRPr="00662D83">
        <w:rPr>
          <w:rFonts w:asciiTheme="minorHAnsi" w:hAnsiTheme="minorHAnsi" w:cs="Arial"/>
          <w:b/>
          <w:i/>
          <w:sz w:val="22"/>
          <w:szCs w:val="22"/>
          <w:u w:val="single"/>
        </w:rPr>
        <w:t>Cadweld</w:t>
      </w:r>
      <w:proofErr w:type="spellEnd"/>
      <w:r w:rsidRPr="00662D83">
        <w:rPr>
          <w:rFonts w:asciiTheme="minorHAnsi" w:hAnsiTheme="minorHAnsi" w:cs="Arial"/>
          <w:b/>
          <w:i/>
          <w:sz w:val="22"/>
          <w:szCs w:val="22"/>
          <w:u w:val="single"/>
        </w:rPr>
        <w:t xml:space="preserve"> CA-15 garantizando la soldadura en todos los puntos de empalme del sistema de puesta a tierra</w:t>
      </w:r>
      <w:r w:rsidRPr="00662D83">
        <w:rPr>
          <w:rFonts w:asciiTheme="minorHAnsi" w:hAnsiTheme="minorHAnsi" w:cs="Arial"/>
          <w:i/>
          <w:sz w:val="22"/>
          <w:szCs w:val="22"/>
        </w:rPr>
        <w:t>.</w:t>
      </w:r>
    </w:p>
    <w:p w:rsidR="001058F7" w:rsidRPr="00662D83" w:rsidRDefault="001058F7" w:rsidP="001058F7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</w:p>
    <w:p w:rsidR="001058F7" w:rsidRPr="00662D83" w:rsidRDefault="001058F7" w:rsidP="001058F7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  <w:r w:rsidRPr="00662D83">
        <w:rPr>
          <w:rFonts w:asciiTheme="minorHAnsi" w:hAnsiTheme="minorHAnsi" w:cs="Arial"/>
          <w:i/>
          <w:sz w:val="22"/>
          <w:szCs w:val="22"/>
        </w:rPr>
        <w:t>Para la verificación y control del sistema de puesta a tierra se debe instalar  cajas de medición donde se tendrá la barra principal del Sistema de Puesta a Tierra (PAT) (red equipotencial).</w:t>
      </w:r>
    </w:p>
    <w:p w:rsidR="001058F7" w:rsidRPr="00662D83" w:rsidRDefault="001058F7" w:rsidP="001058F7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  <w:r w:rsidRPr="00662D83">
        <w:rPr>
          <w:rStyle w:val="nfasis"/>
          <w:rFonts w:asciiTheme="minorHAnsi" w:hAnsiTheme="minorHAnsi" w:cs="Arial"/>
          <w:i/>
          <w:sz w:val="22"/>
          <w:szCs w:val="22"/>
        </w:rPr>
        <w:t xml:space="preserve"> 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 xml:space="preserve">La empresa Proponente deberá presentar, en base a la información proporcionada en el presente pliego de especificaciones, los materiales, equipos de instalación. Asimismo, se deberá proceder a la comprobación de existencia y funcionamiento de las Aislaciones Dieléctricas en  la entrada y salida de las Estaciones Distritales </w:t>
      </w:r>
      <w:proofErr w:type="spellStart"/>
      <w:r w:rsidRPr="00662D83">
        <w:rPr>
          <w:rStyle w:val="nfasis"/>
          <w:rFonts w:cs="Arial"/>
          <w:i/>
          <w:sz w:val="22"/>
        </w:rPr>
        <w:t>EDRs</w:t>
      </w:r>
      <w:proofErr w:type="spellEnd"/>
      <w:r w:rsidRPr="00662D83">
        <w:rPr>
          <w:rStyle w:val="nfasis"/>
          <w:rFonts w:cs="Arial"/>
          <w:i/>
          <w:sz w:val="22"/>
        </w:rPr>
        <w:t>.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iCs w:val="0"/>
          <w:sz w:val="22"/>
        </w:rPr>
        <w:t xml:space="preserve">Elaborar la ingeniería de detalle del sistema de aterramiento con los datos proporcionados (resistividad del suelo cercano al EDR) por la distrital que contemple </w:t>
      </w:r>
      <w:r w:rsidRPr="00662D83">
        <w:rPr>
          <w:rStyle w:val="nfasis"/>
          <w:rFonts w:cs="Arial"/>
          <w:i/>
          <w:sz w:val="22"/>
        </w:rPr>
        <w:t>una memoria de cálculo con sus correspondientes planos, cálculos y volúmenes de obra, materiales a ser empleados, certificados de calidad de los materiales a ser utilizados y otros. La empresa contratista deberá corroborar las mediciones de la resistividad de terreno presentado en el ANEXO</w:t>
      </w:r>
      <w:r w:rsidR="00394275" w:rsidRPr="00662D83">
        <w:rPr>
          <w:rStyle w:val="nfasis"/>
          <w:rFonts w:cs="Arial"/>
          <w:i/>
          <w:sz w:val="22"/>
        </w:rPr>
        <w:t xml:space="preserve"> </w:t>
      </w:r>
      <w:r w:rsidRPr="00662D83">
        <w:rPr>
          <w:rStyle w:val="nfasis"/>
          <w:rFonts w:cs="Arial"/>
          <w:i/>
          <w:sz w:val="22"/>
        </w:rPr>
        <w:t xml:space="preserve"> y ajustar su diseño según el cálculo realizado.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</w:p>
    <w:p w:rsidR="007C774A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>La empresa contratista debe consider</w:t>
      </w:r>
      <w:r w:rsidR="007C774A" w:rsidRPr="00662D83">
        <w:rPr>
          <w:rStyle w:val="nfasis"/>
          <w:rFonts w:cs="Arial"/>
          <w:i/>
          <w:sz w:val="22"/>
        </w:rPr>
        <w:t>ar que el SPAT estará instalado</w:t>
      </w:r>
      <w:r w:rsidRPr="00662D83">
        <w:rPr>
          <w:rStyle w:val="nfasis"/>
          <w:rFonts w:cs="Arial"/>
          <w:i/>
          <w:sz w:val="22"/>
        </w:rPr>
        <w:t xml:space="preserve"> en</w:t>
      </w:r>
      <w:r w:rsidR="007C774A" w:rsidRPr="00662D83">
        <w:rPr>
          <w:rStyle w:val="nfasis"/>
          <w:rFonts w:cs="Arial"/>
          <w:i/>
          <w:sz w:val="22"/>
        </w:rPr>
        <w:t>:</w:t>
      </w:r>
    </w:p>
    <w:p w:rsidR="007C774A" w:rsidRPr="00662D83" w:rsidRDefault="007C774A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>Localidad de Panduro: lado EDR, carretera Panduro Eucaliptus</w:t>
      </w:r>
    </w:p>
    <w:p w:rsidR="007C774A" w:rsidRPr="00662D83" w:rsidRDefault="007C774A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>Localidad de Quelcata: lado Alcaldía de Quelcata</w:t>
      </w:r>
    </w:p>
    <w:p w:rsidR="007C774A" w:rsidRPr="00662D83" w:rsidRDefault="007C774A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color w:val="FF0000"/>
          <w:sz w:val="22"/>
        </w:rPr>
      </w:pPr>
      <w:r w:rsidRPr="00662D83">
        <w:rPr>
          <w:rStyle w:val="nfasis"/>
          <w:rFonts w:cs="Arial"/>
          <w:i/>
          <w:sz w:val="22"/>
        </w:rPr>
        <w:t>Oruro - Urb. Mineros 2000: lado EDR de Urb. mineros 2000</w:t>
      </w:r>
      <w:r w:rsidR="001058F7" w:rsidRPr="00662D83">
        <w:rPr>
          <w:rStyle w:val="nfasis"/>
          <w:rFonts w:cs="Arial"/>
          <w:i/>
          <w:color w:val="FF0000"/>
          <w:sz w:val="22"/>
        </w:rPr>
        <w:t xml:space="preserve">, </w:t>
      </w:r>
    </w:p>
    <w:p w:rsidR="007C774A" w:rsidRPr="00662D83" w:rsidRDefault="007C774A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</w:p>
    <w:p w:rsidR="001058F7" w:rsidRPr="00662D83" w:rsidRDefault="007C774A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 xml:space="preserve">Considerar que los </w:t>
      </w:r>
      <w:proofErr w:type="spellStart"/>
      <w:r w:rsidRPr="00662D83">
        <w:rPr>
          <w:rStyle w:val="nfasis"/>
          <w:rFonts w:cs="Arial"/>
          <w:i/>
          <w:sz w:val="22"/>
        </w:rPr>
        <w:t>EDRs</w:t>
      </w:r>
      <w:proofErr w:type="spellEnd"/>
      <w:r w:rsidRPr="00662D83">
        <w:rPr>
          <w:rStyle w:val="nfasis"/>
          <w:rFonts w:cs="Arial"/>
          <w:i/>
          <w:sz w:val="22"/>
        </w:rPr>
        <w:t xml:space="preserve"> se encuentran </w:t>
      </w:r>
      <w:r w:rsidR="001058F7" w:rsidRPr="00662D83">
        <w:rPr>
          <w:rStyle w:val="nfasis"/>
          <w:rFonts w:cs="Arial"/>
          <w:i/>
          <w:sz w:val="22"/>
        </w:rPr>
        <w:t>rodeadas por servicios básicos de agua o energía eléctrica. Por lo cual la entrega de planos según construcción As-</w:t>
      </w:r>
      <w:proofErr w:type="spellStart"/>
      <w:r w:rsidR="001058F7" w:rsidRPr="00662D83">
        <w:rPr>
          <w:rStyle w:val="nfasis"/>
          <w:rFonts w:cs="Arial"/>
          <w:i/>
          <w:sz w:val="22"/>
        </w:rPr>
        <w:t>built</w:t>
      </w:r>
      <w:proofErr w:type="spellEnd"/>
      <w:r w:rsidR="001058F7" w:rsidRPr="00662D83">
        <w:rPr>
          <w:rStyle w:val="nfasis"/>
          <w:rFonts w:cs="Arial"/>
          <w:i/>
          <w:sz w:val="22"/>
        </w:rPr>
        <w:t xml:space="preserve"> es de vital importancia para el correcto mantenimiento e inspección de los sistemas instalados.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</w:p>
    <w:p w:rsidR="00795C36" w:rsidRPr="00662D83" w:rsidRDefault="00795C36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</w:p>
    <w:p w:rsidR="00795C36" w:rsidRPr="00662D83" w:rsidRDefault="00795C36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</w:p>
    <w:p w:rsidR="00795C36" w:rsidRPr="00662D83" w:rsidRDefault="00795C36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</w:p>
    <w:p w:rsidR="001058F7" w:rsidRPr="00662D83" w:rsidRDefault="001058F7" w:rsidP="001058F7">
      <w:pPr>
        <w:spacing w:line="276" w:lineRule="auto"/>
        <w:rPr>
          <w:rFonts w:asciiTheme="minorHAnsi" w:hAnsiTheme="minorHAnsi" w:cs="Arial"/>
          <w:i/>
          <w:iCs/>
          <w:sz w:val="22"/>
          <w:szCs w:val="22"/>
        </w:rPr>
      </w:pPr>
      <w:r w:rsidRPr="00662D83">
        <w:rPr>
          <w:rFonts w:asciiTheme="minorHAnsi" w:hAnsiTheme="minorHAnsi" w:cs="Arial"/>
          <w:i/>
          <w:iCs/>
          <w:sz w:val="22"/>
          <w:szCs w:val="22"/>
        </w:rPr>
        <w:t xml:space="preserve">Implantación del Sistema de Puesta a Tierra al </w:t>
      </w:r>
      <w:proofErr w:type="spellStart"/>
      <w:r w:rsidRPr="00662D83">
        <w:rPr>
          <w:rFonts w:asciiTheme="minorHAnsi" w:hAnsiTheme="minorHAnsi" w:cs="Arial"/>
          <w:i/>
          <w:iCs/>
          <w:sz w:val="22"/>
          <w:szCs w:val="22"/>
        </w:rPr>
        <w:t>EDRs</w:t>
      </w:r>
      <w:proofErr w:type="spellEnd"/>
      <w:r w:rsidRPr="00662D83">
        <w:rPr>
          <w:rFonts w:asciiTheme="minorHAnsi" w:hAnsiTheme="minorHAnsi" w:cs="Arial"/>
          <w:i/>
          <w:iCs/>
          <w:sz w:val="22"/>
          <w:szCs w:val="22"/>
        </w:rPr>
        <w:t xml:space="preserve"> según el siguiente detalle:</w:t>
      </w: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714"/>
        <w:gridCol w:w="3969"/>
      </w:tblGrid>
      <w:tr w:rsidR="00795C36" w:rsidRPr="00662D83" w:rsidTr="00795C36">
        <w:trPr>
          <w:trHeight w:val="372"/>
        </w:trPr>
        <w:tc>
          <w:tcPr>
            <w:tcW w:w="851" w:type="dxa"/>
            <w:shd w:val="clear" w:color="auto" w:fill="C2D69B"/>
            <w:vAlign w:val="center"/>
          </w:tcPr>
          <w:p w:rsidR="00795C36" w:rsidRPr="00662D83" w:rsidRDefault="00795C36" w:rsidP="007C774A">
            <w:pPr>
              <w:spacing w:line="276" w:lineRule="auto"/>
              <w:jc w:val="center"/>
              <w:rPr>
                <w:rFonts w:asciiTheme="minorHAnsi" w:hAnsiTheme="minorHAnsi" w:cs="Arial"/>
                <w:b/>
                <w:i/>
                <w:iCs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b/>
                <w:i/>
                <w:iCs/>
                <w:sz w:val="22"/>
                <w:szCs w:val="22"/>
              </w:rPr>
              <w:t>N°</w:t>
            </w:r>
          </w:p>
        </w:tc>
        <w:tc>
          <w:tcPr>
            <w:tcW w:w="3714" w:type="dxa"/>
            <w:shd w:val="clear" w:color="auto" w:fill="C2D69B"/>
            <w:vAlign w:val="center"/>
          </w:tcPr>
          <w:p w:rsidR="00795C36" w:rsidRPr="00662D83" w:rsidRDefault="00795C36" w:rsidP="007C774A">
            <w:pPr>
              <w:spacing w:line="276" w:lineRule="auto"/>
              <w:jc w:val="center"/>
              <w:rPr>
                <w:rFonts w:asciiTheme="minorHAnsi" w:hAnsiTheme="minorHAnsi" w:cs="Arial"/>
                <w:b/>
                <w:i/>
                <w:iCs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b/>
                <w:i/>
                <w:iCs/>
                <w:sz w:val="22"/>
                <w:szCs w:val="22"/>
              </w:rPr>
              <w:t>Estación Distrital de Regulación</w:t>
            </w:r>
          </w:p>
        </w:tc>
        <w:tc>
          <w:tcPr>
            <w:tcW w:w="3969" w:type="dxa"/>
            <w:shd w:val="clear" w:color="auto" w:fill="C2D69B"/>
            <w:vAlign w:val="center"/>
          </w:tcPr>
          <w:p w:rsidR="00795C36" w:rsidRPr="00662D83" w:rsidRDefault="00795C36" w:rsidP="007C774A">
            <w:pPr>
              <w:spacing w:line="276" w:lineRule="auto"/>
              <w:jc w:val="center"/>
              <w:rPr>
                <w:rFonts w:asciiTheme="minorHAnsi" w:hAnsiTheme="minorHAnsi" w:cs="Arial"/>
                <w:b/>
                <w:i/>
                <w:iCs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b/>
                <w:i/>
                <w:iCs/>
                <w:sz w:val="22"/>
                <w:szCs w:val="22"/>
              </w:rPr>
              <w:t>Dirección</w:t>
            </w:r>
          </w:p>
        </w:tc>
      </w:tr>
      <w:tr w:rsidR="00795C36" w:rsidRPr="00662D83" w:rsidTr="00795C36">
        <w:trPr>
          <w:trHeight w:val="131"/>
        </w:trPr>
        <w:tc>
          <w:tcPr>
            <w:tcW w:w="851" w:type="dxa"/>
          </w:tcPr>
          <w:p w:rsidR="00795C36" w:rsidRPr="00662D83" w:rsidRDefault="00795C36" w:rsidP="007C774A">
            <w:pPr>
              <w:spacing w:line="276" w:lineRule="auto"/>
              <w:jc w:val="center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3714" w:type="dxa"/>
          </w:tcPr>
          <w:p w:rsidR="00795C36" w:rsidRPr="00662D83" w:rsidRDefault="00795C36" w:rsidP="007C774A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sz w:val="22"/>
                <w:szCs w:val="22"/>
              </w:rPr>
              <w:t xml:space="preserve">LOCALIDAD DE PANDURO </w:t>
            </w:r>
          </w:p>
        </w:tc>
        <w:tc>
          <w:tcPr>
            <w:tcW w:w="3969" w:type="dxa"/>
          </w:tcPr>
          <w:p w:rsidR="00795C36" w:rsidRPr="00662D83" w:rsidRDefault="00795C36" w:rsidP="00795C36">
            <w:pPr>
              <w:spacing w:line="276" w:lineRule="auto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CARRETERA ORURO – LA PAZ KM 80</w:t>
            </w:r>
          </w:p>
        </w:tc>
      </w:tr>
      <w:tr w:rsidR="00795C36" w:rsidRPr="00662D83" w:rsidTr="00795C36">
        <w:trPr>
          <w:trHeight w:val="149"/>
        </w:trPr>
        <w:tc>
          <w:tcPr>
            <w:tcW w:w="851" w:type="dxa"/>
          </w:tcPr>
          <w:p w:rsidR="00795C36" w:rsidRPr="00662D83" w:rsidRDefault="00795C36" w:rsidP="007C774A">
            <w:pPr>
              <w:spacing w:line="276" w:lineRule="auto"/>
              <w:jc w:val="center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3714" w:type="dxa"/>
          </w:tcPr>
          <w:p w:rsidR="00795C36" w:rsidRPr="00662D83" w:rsidRDefault="00795C36" w:rsidP="007C774A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sz w:val="22"/>
                <w:szCs w:val="22"/>
              </w:rPr>
              <w:t>LOCALIDAD DE QUELCATA</w:t>
            </w:r>
          </w:p>
        </w:tc>
        <w:tc>
          <w:tcPr>
            <w:tcW w:w="3969" w:type="dxa"/>
          </w:tcPr>
          <w:p w:rsidR="00795C36" w:rsidRPr="00662D83" w:rsidRDefault="00795C36" w:rsidP="00D41E23">
            <w:pPr>
              <w:spacing w:line="276" w:lineRule="auto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iCs/>
                <w:sz w:val="22"/>
                <w:szCs w:val="22"/>
              </w:rPr>
              <w:t xml:space="preserve">CARRETERA </w:t>
            </w:r>
            <w:r w:rsidR="00D41E23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ORURO</w:t>
            </w:r>
            <w:r w:rsidRPr="00662D83">
              <w:rPr>
                <w:rFonts w:asciiTheme="minorHAnsi" w:hAnsiTheme="minorHAnsi" w:cs="Arial"/>
                <w:i/>
                <w:iCs/>
                <w:sz w:val="22"/>
                <w:szCs w:val="22"/>
              </w:rPr>
              <w:t xml:space="preserve"> – EUCALIPTUS KM 8</w:t>
            </w:r>
            <w:r w:rsidR="00D41E23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8</w:t>
            </w:r>
          </w:p>
        </w:tc>
      </w:tr>
      <w:tr w:rsidR="00795C36" w:rsidRPr="00662D83" w:rsidTr="00795C36">
        <w:trPr>
          <w:trHeight w:val="377"/>
        </w:trPr>
        <w:tc>
          <w:tcPr>
            <w:tcW w:w="851" w:type="dxa"/>
            <w:tcBorders>
              <w:bottom w:val="single" w:sz="4" w:space="0" w:color="auto"/>
            </w:tcBorders>
          </w:tcPr>
          <w:p w:rsidR="00795C36" w:rsidRPr="00662D83" w:rsidRDefault="00795C36" w:rsidP="007C774A">
            <w:pPr>
              <w:spacing w:line="276" w:lineRule="auto"/>
              <w:jc w:val="center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3714" w:type="dxa"/>
          </w:tcPr>
          <w:p w:rsidR="00795C36" w:rsidRPr="00662D83" w:rsidRDefault="00795C36" w:rsidP="007C774A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sz w:val="22"/>
                <w:szCs w:val="22"/>
              </w:rPr>
              <w:t>URBANIZACION MINEROS 2000</w:t>
            </w:r>
          </w:p>
          <w:p w:rsidR="00795C36" w:rsidRPr="00662D83" w:rsidRDefault="00795C36" w:rsidP="007C774A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</w:tc>
        <w:tc>
          <w:tcPr>
            <w:tcW w:w="3969" w:type="dxa"/>
          </w:tcPr>
          <w:p w:rsidR="00795C36" w:rsidRPr="00662D83" w:rsidRDefault="00D41E23" w:rsidP="007C774A">
            <w:pPr>
              <w:spacing w:line="276" w:lineRule="auto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iCs/>
                <w:sz w:val="22"/>
                <w:szCs w:val="22"/>
              </w:rPr>
              <w:t>CARRETERA ORURO – LA PAZ KM 8</w:t>
            </w:r>
            <w:r w:rsidR="00795C36" w:rsidRPr="00662D83">
              <w:rPr>
                <w:rFonts w:asciiTheme="minorHAnsi" w:hAnsiTheme="minorHAnsi" w:cs="Arial"/>
                <w:i/>
                <w:iCs/>
                <w:sz w:val="22"/>
                <w:szCs w:val="22"/>
              </w:rPr>
              <w:t xml:space="preserve"> (FRENTE  A URB. AURORA)</w:t>
            </w:r>
          </w:p>
        </w:tc>
      </w:tr>
    </w:tbl>
    <w:p w:rsidR="001058F7" w:rsidRPr="00662D83" w:rsidRDefault="001058F7" w:rsidP="001058F7">
      <w:pPr>
        <w:pStyle w:val="Ttulo2"/>
        <w:keepNext w:val="0"/>
        <w:numPr>
          <w:ilvl w:val="1"/>
          <w:numId w:val="0"/>
        </w:numPr>
        <w:spacing w:before="0" w:after="0" w:line="276" w:lineRule="auto"/>
        <w:rPr>
          <w:rFonts w:asciiTheme="minorHAnsi" w:hAnsiTheme="minorHAnsi" w:cs="Times New Roman"/>
          <w:i w:val="0"/>
          <w:sz w:val="22"/>
          <w:szCs w:val="22"/>
        </w:rPr>
      </w:pPr>
    </w:p>
    <w:p w:rsidR="001058F7" w:rsidRPr="00662D83" w:rsidRDefault="001058F7" w:rsidP="001058F7">
      <w:pPr>
        <w:pStyle w:val="Ttulo2"/>
        <w:keepNext w:val="0"/>
        <w:numPr>
          <w:ilvl w:val="1"/>
          <w:numId w:val="0"/>
        </w:numPr>
        <w:spacing w:before="0" w:after="0" w:line="276" w:lineRule="auto"/>
        <w:rPr>
          <w:rFonts w:asciiTheme="minorHAnsi" w:hAnsiTheme="minorHAnsi"/>
          <w:sz w:val="22"/>
          <w:szCs w:val="22"/>
        </w:rPr>
      </w:pPr>
      <w:r w:rsidRPr="00662D83">
        <w:rPr>
          <w:rFonts w:asciiTheme="minorHAnsi" w:hAnsiTheme="minorHAnsi"/>
          <w:sz w:val="22"/>
          <w:szCs w:val="22"/>
        </w:rPr>
        <w:t>NORMAS DE REFERENCIA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>La instalación y puesta en marcha del sistema de puesta a tierra debe ser realizado según las siguientes normativas: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84"/>
        <w:gridCol w:w="6510"/>
      </w:tblGrid>
      <w:tr w:rsidR="001058F7" w:rsidRPr="00662D83" w:rsidTr="007C774A">
        <w:trPr>
          <w:trHeight w:val="299"/>
          <w:jc w:val="center"/>
        </w:trPr>
        <w:tc>
          <w:tcPr>
            <w:tcW w:w="2484" w:type="dxa"/>
          </w:tcPr>
          <w:p w:rsidR="001058F7" w:rsidRPr="00662D83" w:rsidRDefault="001058F7" w:rsidP="007C774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NFPA-70 “NEC” </w:t>
            </w:r>
          </w:p>
        </w:tc>
        <w:tc>
          <w:tcPr>
            <w:tcW w:w="6510" w:type="dxa"/>
          </w:tcPr>
          <w:p w:rsidR="001058F7" w:rsidRPr="00662D83" w:rsidRDefault="001058F7" w:rsidP="007C774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Instalaciones eléctricas de una gama amplia de aplicaciones; mucho sobre puesta a tierra y uniones equipotenciales </w:t>
            </w:r>
          </w:p>
        </w:tc>
      </w:tr>
      <w:tr w:rsidR="001058F7" w:rsidRPr="00662D83" w:rsidTr="007C774A">
        <w:trPr>
          <w:trHeight w:val="299"/>
          <w:jc w:val="center"/>
        </w:trPr>
        <w:tc>
          <w:tcPr>
            <w:tcW w:w="2484" w:type="dxa"/>
          </w:tcPr>
          <w:p w:rsidR="001058F7" w:rsidRPr="00662D83" w:rsidRDefault="001058F7" w:rsidP="007C774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NOM-001-SEDE-2005 </w:t>
            </w:r>
          </w:p>
        </w:tc>
        <w:tc>
          <w:tcPr>
            <w:tcW w:w="6510" w:type="dxa"/>
          </w:tcPr>
          <w:p w:rsidR="001058F7" w:rsidRPr="00662D83" w:rsidRDefault="001058F7" w:rsidP="007C774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NORMA Oficial Mexicana NOM-001-SEDE-2005, Instalaciones Eléctricas. Basada en NPFA-70; la NEC en español </w:t>
            </w:r>
          </w:p>
        </w:tc>
      </w:tr>
      <w:tr w:rsidR="001058F7" w:rsidRPr="00662D83" w:rsidTr="007C774A">
        <w:trPr>
          <w:trHeight w:val="131"/>
          <w:jc w:val="center"/>
        </w:trPr>
        <w:tc>
          <w:tcPr>
            <w:tcW w:w="2484" w:type="dxa"/>
          </w:tcPr>
          <w:p w:rsidR="001058F7" w:rsidRPr="00662D83" w:rsidRDefault="001058F7" w:rsidP="007C774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IEEE-142 </w:t>
            </w:r>
          </w:p>
        </w:tc>
        <w:tc>
          <w:tcPr>
            <w:tcW w:w="6510" w:type="dxa"/>
          </w:tcPr>
          <w:p w:rsidR="001058F7" w:rsidRPr="00662D83" w:rsidRDefault="001058F7" w:rsidP="007C774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IEEE Práctica para puesta a tierra de sistemas industriales / comerciales </w:t>
            </w:r>
          </w:p>
        </w:tc>
      </w:tr>
      <w:tr w:rsidR="001058F7" w:rsidRPr="00662D83" w:rsidTr="007C774A">
        <w:trPr>
          <w:trHeight w:val="131"/>
          <w:jc w:val="center"/>
        </w:trPr>
        <w:tc>
          <w:tcPr>
            <w:tcW w:w="2484" w:type="dxa"/>
          </w:tcPr>
          <w:p w:rsidR="001058F7" w:rsidRPr="00662D83" w:rsidRDefault="001058F7" w:rsidP="007C774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NB 777 </w:t>
            </w:r>
          </w:p>
        </w:tc>
        <w:tc>
          <w:tcPr>
            <w:tcW w:w="6510" w:type="dxa"/>
          </w:tcPr>
          <w:p w:rsidR="001058F7" w:rsidRPr="00662D83" w:rsidRDefault="001058F7" w:rsidP="007C774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Norma boliviana sobre instalaciones eléctricas </w:t>
            </w:r>
          </w:p>
        </w:tc>
      </w:tr>
      <w:tr w:rsidR="001058F7" w:rsidRPr="00662D83" w:rsidTr="007C774A">
        <w:trPr>
          <w:trHeight w:val="131"/>
          <w:jc w:val="center"/>
        </w:trPr>
        <w:tc>
          <w:tcPr>
            <w:tcW w:w="2484" w:type="dxa"/>
          </w:tcPr>
          <w:p w:rsidR="001058F7" w:rsidRPr="00662D83" w:rsidRDefault="001058F7" w:rsidP="007C774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IEEE-80 </w:t>
            </w:r>
          </w:p>
        </w:tc>
        <w:tc>
          <w:tcPr>
            <w:tcW w:w="6510" w:type="dxa"/>
          </w:tcPr>
          <w:p w:rsidR="001058F7" w:rsidRPr="00662D83" w:rsidRDefault="001058F7" w:rsidP="007C774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IEEE Guía para puesta a tierra para seguridad de personal en subestaciones </w:t>
            </w:r>
          </w:p>
        </w:tc>
      </w:tr>
      <w:tr w:rsidR="001058F7" w:rsidRPr="00662D83" w:rsidTr="007C774A">
        <w:trPr>
          <w:trHeight w:val="299"/>
          <w:jc w:val="center"/>
        </w:trPr>
        <w:tc>
          <w:tcPr>
            <w:tcW w:w="2484" w:type="dxa"/>
          </w:tcPr>
          <w:p w:rsidR="001058F7" w:rsidRPr="00662D83" w:rsidRDefault="001058F7" w:rsidP="007C774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IEEE-1000 </w:t>
            </w:r>
          </w:p>
        </w:tc>
        <w:tc>
          <w:tcPr>
            <w:tcW w:w="6510" w:type="dxa"/>
          </w:tcPr>
          <w:p w:rsidR="001058F7" w:rsidRPr="00662D83" w:rsidRDefault="001058F7" w:rsidP="007C774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662D83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IEEE Práctica recomendada para alimentación eléctrica y puesta a tierra para equipos electrónicos </w:t>
            </w:r>
          </w:p>
        </w:tc>
      </w:tr>
    </w:tbl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iCs w:val="0"/>
          <w:sz w:val="22"/>
        </w:rPr>
      </w:pP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iCs w:val="0"/>
          <w:sz w:val="22"/>
        </w:rPr>
      </w:pPr>
      <w:r w:rsidRPr="00662D83">
        <w:rPr>
          <w:rStyle w:val="nfasis"/>
          <w:rFonts w:cs="Arial"/>
          <w:i/>
          <w:iCs w:val="0"/>
          <w:sz w:val="22"/>
        </w:rPr>
        <w:t>Las instalaciones eléctricas se harán respetando lo establecido por NEC (</w:t>
      </w:r>
      <w:proofErr w:type="spellStart"/>
      <w:r w:rsidRPr="00662D83">
        <w:rPr>
          <w:rStyle w:val="nfasis"/>
          <w:rFonts w:cs="Arial"/>
          <w:i/>
          <w:iCs w:val="0"/>
          <w:sz w:val="22"/>
        </w:rPr>
        <w:t>National</w:t>
      </w:r>
      <w:proofErr w:type="spellEnd"/>
      <w:r w:rsidRPr="00662D83">
        <w:rPr>
          <w:rStyle w:val="nfasis"/>
          <w:rFonts w:cs="Arial"/>
          <w:i/>
          <w:iCs w:val="0"/>
          <w:sz w:val="22"/>
        </w:rPr>
        <w:t xml:space="preserve"> Electric </w:t>
      </w:r>
      <w:proofErr w:type="spellStart"/>
      <w:r w:rsidRPr="00662D83">
        <w:rPr>
          <w:rStyle w:val="nfasis"/>
          <w:rFonts w:cs="Arial"/>
          <w:i/>
          <w:iCs w:val="0"/>
          <w:sz w:val="22"/>
        </w:rPr>
        <w:t>Code</w:t>
      </w:r>
      <w:proofErr w:type="spellEnd"/>
      <w:r w:rsidRPr="00662D83">
        <w:rPr>
          <w:rStyle w:val="nfasis"/>
          <w:rFonts w:cs="Arial"/>
          <w:i/>
          <w:iCs w:val="0"/>
          <w:sz w:val="22"/>
        </w:rPr>
        <w:t>) en la norma NFPA  Nº 70 última edición. Además de considerar la normativa vigente en la NB 777 y la IEEE.</w:t>
      </w:r>
    </w:p>
    <w:p w:rsidR="00795C36" w:rsidRPr="00662D83" w:rsidRDefault="00795C36" w:rsidP="001058F7">
      <w:pPr>
        <w:pStyle w:val="Ttulo2"/>
        <w:keepNext w:val="0"/>
        <w:numPr>
          <w:ilvl w:val="1"/>
          <w:numId w:val="0"/>
        </w:numPr>
        <w:spacing w:before="0"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1058F7" w:rsidRPr="00662D83" w:rsidRDefault="001058F7" w:rsidP="001058F7">
      <w:pPr>
        <w:pStyle w:val="Ttulo2"/>
        <w:keepNext w:val="0"/>
        <w:numPr>
          <w:ilvl w:val="1"/>
          <w:numId w:val="0"/>
        </w:numPr>
        <w:spacing w:before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662D83">
        <w:rPr>
          <w:rFonts w:asciiTheme="minorHAnsi" w:hAnsiTheme="minorHAnsi"/>
          <w:sz w:val="22"/>
          <w:szCs w:val="22"/>
        </w:rPr>
        <w:t>PREVIO INICIO DE ACTIVIDADES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>La contratista deberá presentar ante el supervisor designado por Y.P.F.B. la siguiente documentación:</w:t>
      </w:r>
    </w:p>
    <w:p w:rsidR="001058F7" w:rsidRPr="00662D83" w:rsidRDefault="001058F7" w:rsidP="001058F7">
      <w:pPr>
        <w:pStyle w:val="Textoindependiente"/>
        <w:numPr>
          <w:ilvl w:val="0"/>
          <w:numId w:val="5"/>
        </w:numPr>
        <w:spacing w:after="0" w:line="276" w:lineRule="auto"/>
        <w:jc w:val="both"/>
        <w:rPr>
          <w:rFonts w:cs="Arial"/>
          <w:i/>
          <w:iCs/>
        </w:rPr>
      </w:pPr>
      <w:r w:rsidRPr="00662D83">
        <w:rPr>
          <w:rFonts w:cs="Arial"/>
          <w:i/>
          <w:iCs/>
        </w:rPr>
        <w:t xml:space="preserve">Ingeniería de detalle y diseño del SPAT. </w:t>
      </w:r>
    </w:p>
    <w:p w:rsidR="001058F7" w:rsidRPr="00662D83" w:rsidRDefault="001058F7" w:rsidP="001058F7">
      <w:pPr>
        <w:pStyle w:val="Textoindependiente"/>
        <w:numPr>
          <w:ilvl w:val="0"/>
          <w:numId w:val="5"/>
        </w:numPr>
        <w:spacing w:after="0" w:line="276" w:lineRule="auto"/>
        <w:jc w:val="both"/>
        <w:rPr>
          <w:rFonts w:cs="Arial"/>
          <w:i/>
          <w:iCs/>
        </w:rPr>
      </w:pPr>
      <w:r w:rsidRPr="00662D83">
        <w:rPr>
          <w:rFonts w:cs="Arial"/>
          <w:i/>
          <w:iCs/>
        </w:rPr>
        <w:lastRenderedPageBreak/>
        <w:t xml:space="preserve">Plano de Detalle de la instalación del sistema de SPAT para el EDR. de </w:t>
      </w:r>
      <w:r w:rsidR="00795C36" w:rsidRPr="00662D83">
        <w:rPr>
          <w:rFonts w:cs="Arial"/>
          <w:i/>
          <w:iCs/>
        </w:rPr>
        <w:t xml:space="preserve">PANDURO, QUELCATA </w:t>
      </w:r>
      <w:r w:rsidRPr="00662D83">
        <w:rPr>
          <w:rFonts w:cs="Arial"/>
          <w:i/>
          <w:iCs/>
        </w:rPr>
        <w:t xml:space="preserve">Y </w:t>
      </w:r>
      <w:r w:rsidR="004B2CAC" w:rsidRPr="00662D83">
        <w:rPr>
          <w:rFonts w:cs="Arial"/>
          <w:i/>
          <w:iCs/>
        </w:rPr>
        <w:t>URB. MINEROS 2000</w:t>
      </w:r>
      <w:r w:rsidRPr="00662D83">
        <w:rPr>
          <w:rFonts w:cs="Arial"/>
          <w:i/>
          <w:iCs/>
        </w:rPr>
        <w:t xml:space="preserve">. </w:t>
      </w:r>
    </w:p>
    <w:p w:rsidR="001058F7" w:rsidRPr="00662D83" w:rsidRDefault="001058F7" w:rsidP="001058F7">
      <w:pPr>
        <w:pStyle w:val="Textoindependiente"/>
        <w:numPr>
          <w:ilvl w:val="0"/>
          <w:numId w:val="5"/>
        </w:numPr>
        <w:spacing w:after="0" w:line="276" w:lineRule="auto"/>
        <w:jc w:val="both"/>
        <w:rPr>
          <w:rFonts w:cs="Arial"/>
          <w:i/>
          <w:iCs/>
        </w:rPr>
      </w:pPr>
      <w:r w:rsidRPr="00662D83">
        <w:rPr>
          <w:rFonts w:cs="Arial"/>
          <w:i/>
          <w:iCs/>
        </w:rPr>
        <w:t xml:space="preserve">Lista de Materiales y Equipos, con las cantidades y “Data </w:t>
      </w:r>
      <w:proofErr w:type="spellStart"/>
      <w:r w:rsidRPr="00662D83">
        <w:rPr>
          <w:rFonts w:cs="Arial"/>
          <w:i/>
          <w:iCs/>
        </w:rPr>
        <w:t>Sheet</w:t>
      </w:r>
      <w:proofErr w:type="spellEnd"/>
      <w:r w:rsidRPr="00662D83">
        <w:rPr>
          <w:rFonts w:cs="Arial"/>
          <w:i/>
          <w:iCs/>
        </w:rPr>
        <w:t>” respectivos</w:t>
      </w:r>
    </w:p>
    <w:p w:rsidR="001058F7" w:rsidRPr="00662D83" w:rsidRDefault="001058F7" w:rsidP="001058F7">
      <w:pPr>
        <w:pStyle w:val="Textoindependiente"/>
        <w:numPr>
          <w:ilvl w:val="0"/>
          <w:numId w:val="5"/>
        </w:numPr>
        <w:spacing w:after="0" w:line="276" w:lineRule="auto"/>
        <w:jc w:val="both"/>
        <w:rPr>
          <w:rFonts w:cs="Arial"/>
          <w:i/>
          <w:iCs/>
        </w:rPr>
      </w:pPr>
      <w:r w:rsidRPr="00662D83">
        <w:rPr>
          <w:rFonts w:cs="Arial"/>
          <w:i/>
          <w:iCs/>
        </w:rPr>
        <w:t>Cronograma Detallado, desde el Inicio hasta la finalización del trabajo.</w:t>
      </w:r>
    </w:p>
    <w:p w:rsidR="001058F7" w:rsidRPr="00662D83" w:rsidRDefault="001058F7" w:rsidP="001058F7">
      <w:pPr>
        <w:pStyle w:val="Textoindependiente"/>
        <w:numPr>
          <w:ilvl w:val="0"/>
          <w:numId w:val="5"/>
        </w:numPr>
        <w:spacing w:after="0" w:line="276" w:lineRule="auto"/>
        <w:jc w:val="both"/>
        <w:rPr>
          <w:rFonts w:cs="Arial"/>
          <w:i/>
          <w:iCs/>
        </w:rPr>
      </w:pPr>
      <w:r w:rsidRPr="00662D83">
        <w:rPr>
          <w:rFonts w:cs="Arial"/>
          <w:i/>
          <w:iCs/>
        </w:rPr>
        <w:t>Plan de trabajo</w:t>
      </w:r>
    </w:p>
    <w:p w:rsidR="001058F7" w:rsidRPr="00662D83" w:rsidRDefault="001058F7" w:rsidP="001058F7">
      <w:pPr>
        <w:pStyle w:val="Textoindependiente"/>
        <w:numPr>
          <w:ilvl w:val="0"/>
          <w:numId w:val="5"/>
        </w:numPr>
        <w:spacing w:after="0" w:line="276" w:lineRule="auto"/>
        <w:jc w:val="both"/>
        <w:rPr>
          <w:rFonts w:cs="Arial"/>
          <w:i/>
          <w:iCs/>
        </w:rPr>
      </w:pPr>
      <w:r w:rsidRPr="00662D83">
        <w:rPr>
          <w:rFonts w:cs="Arial"/>
          <w:i/>
          <w:iCs/>
        </w:rPr>
        <w:t>Procedimiento de Instalación</w:t>
      </w:r>
      <w:bookmarkStart w:id="1" w:name="_Toc328380454"/>
    </w:p>
    <w:p w:rsidR="001058F7" w:rsidRPr="00662D83" w:rsidRDefault="004B2CAC" w:rsidP="001058F7">
      <w:pPr>
        <w:pStyle w:val="Textoindependiente"/>
        <w:numPr>
          <w:ilvl w:val="0"/>
          <w:numId w:val="5"/>
        </w:numPr>
        <w:spacing w:after="0" w:line="276" w:lineRule="auto"/>
        <w:jc w:val="both"/>
        <w:rPr>
          <w:rFonts w:cs="Arial"/>
          <w:i/>
          <w:iCs/>
        </w:rPr>
      </w:pPr>
      <w:r w:rsidRPr="00662D83">
        <w:rPr>
          <w:rFonts w:cs="Arial"/>
          <w:i/>
        </w:rPr>
        <w:t>Copia de seguros solicitados en DBC</w:t>
      </w:r>
    </w:p>
    <w:p w:rsidR="001058F7" w:rsidRPr="00662D83" w:rsidRDefault="001058F7" w:rsidP="001058F7">
      <w:pPr>
        <w:rPr>
          <w:rFonts w:asciiTheme="minorHAnsi" w:hAnsiTheme="minorHAnsi" w:cs="Arial"/>
          <w:i/>
          <w:sz w:val="22"/>
          <w:szCs w:val="22"/>
        </w:rPr>
      </w:pPr>
    </w:p>
    <w:p w:rsidR="001058F7" w:rsidRPr="00662D83" w:rsidRDefault="001058F7" w:rsidP="001058F7">
      <w:pPr>
        <w:pStyle w:val="Ttulo1"/>
        <w:spacing w:line="276" w:lineRule="auto"/>
        <w:rPr>
          <w:rFonts w:asciiTheme="minorHAnsi" w:hAnsiTheme="minorHAnsi" w:cs="Arial"/>
          <w:i/>
          <w:sz w:val="22"/>
          <w:szCs w:val="22"/>
          <w:u w:val="single"/>
        </w:rPr>
      </w:pPr>
      <w:r w:rsidRPr="00662D83">
        <w:rPr>
          <w:rFonts w:asciiTheme="minorHAnsi" w:hAnsiTheme="minorHAnsi" w:cs="Arial"/>
          <w:i/>
          <w:sz w:val="22"/>
          <w:szCs w:val="22"/>
          <w:u w:val="single"/>
        </w:rPr>
        <w:t>CANTIDAD DE EDRS PARA LA INSTALACION DEL SPAT</w:t>
      </w:r>
    </w:p>
    <w:p w:rsidR="001058F7" w:rsidRPr="00662D83" w:rsidRDefault="001058F7" w:rsidP="001058F7">
      <w:pPr>
        <w:rPr>
          <w:rFonts w:asciiTheme="minorHAnsi" w:hAnsiTheme="minorHAnsi" w:cs="Arial"/>
          <w:i/>
          <w:sz w:val="22"/>
          <w:szCs w:val="22"/>
        </w:rPr>
      </w:pPr>
    </w:p>
    <w:p w:rsidR="001058F7" w:rsidRPr="00662D83" w:rsidRDefault="001058F7" w:rsidP="001058F7">
      <w:pPr>
        <w:spacing w:line="276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bookmarkStart w:id="2" w:name="_Toc185140381"/>
      <w:bookmarkStart w:id="3" w:name="_Toc229288253"/>
      <w:bookmarkStart w:id="4" w:name="_Toc328380458"/>
      <w:bookmarkEnd w:id="1"/>
      <w:r w:rsidRPr="00662D83">
        <w:rPr>
          <w:rFonts w:asciiTheme="minorHAnsi" w:hAnsiTheme="minorHAnsi" w:cs="Arial"/>
          <w:b/>
          <w:i/>
          <w:iCs/>
          <w:sz w:val="22"/>
          <w:szCs w:val="22"/>
        </w:rPr>
        <w:t>MATERIALES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iCs w:val="0"/>
          <w:sz w:val="22"/>
        </w:rPr>
      </w:pPr>
      <w:r w:rsidRPr="00662D83">
        <w:rPr>
          <w:rStyle w:val="nfasis"/>
          <w:rFonts w:cs="Arial"/>
          <w:i/>
          <w:iCs w:val="0"/>
          <w:sz w:val="22"/>
        </w:rPr>
        <w:t xml:space="preserve">Los Materiales y Equipos a ser utilizados en las instalaciones deben ser de primera calidad, aprobados por el supervisor de YPFB y descritos en la Propuesta con el detalle de las especificaciones  técnicas correspondientes 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iCs w:val="0"/>
          <w:sz w:val="22"/>
        </w:rPr>
      </w:pPr>
      <w:r w:rsidRPr="00662D83">
        <w:rPr>
          <w:rStyle w:val="nfasis"/>
          <w:rFonts w:cs="Arial"/>
          <w:i/>
          <w:iCs w:val="0"/>
          <w:sz w:val="22"/>
        </w:rPr>
        <w:t>Una vez que  los Materiales y Equipos se encuentren en el lugar de trabajo, se deberán presentar al Supervisor de YPFB, para la verificación respectiva. Si se requiere otro tipo de accesorio no es</w:t>
      </w:r>
      <w:r w:rsidR="00394275" w:rsidRPr="00662D83">
        <w:rPr>
          <w:rStyle w:val="nfasis"/>
          <w:rFonts w:cs="Arial"/>
          <w:i/>
          <w:iCs w:val="0"/>
          <w:sz w:val="22"/>
        </w:rPr>
        <w:t>pecificado en</w:t>
      </w:r>
      <w:r w:rsidRPr="00662D83">
        <w:rPr>
          <w:rStyle w:val="nfasis"/>
          <w:rFonts w:cs="Arial"/>
          <w:i/>
          <w:iCs w:val="0"/>
          <w:sz w:val="22"/>
        </w:rPr>
        <w:t xml:space="preserve"> la instalación del SPAT, el proponente deberá incluir el mismo en su propuesta económica sin adicionar ítems de acuerdo a lo solicitado 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Fonts w:cs="Arial"/>
          <w:i/>
        </w:rPr>
      </w:pPr>
    </w:p>
    <w:p w:rsidR="001058F7" w:rsidRPr="00662D83" w:rsidRDefault="001058F7" w:rsidP="001058F7">
      <w:pPr>
        <w:pStyle w:val="Ttulo1"/>
        <w:spacing w:line="276" w:lineRule="auto"/>
        <w:rPr>
          <w:rFonts w:asciiTheme="minorHAnsi" w:hAnsiTheme="minorHAnsi" w:cs="Arial"/>
          <w:i/>
          <w:sz w:val="22"/>
          <w:szCs w:val="22"/>
          <w:u w:val="single"/>
        </w:rPr>
      </w:pPr>
      <w:r w:rsidRPr="00662D83">
        <w:rPr>
          <w:rFonts w:asciiTheme="minorHAnsi" w:hAnsiTheme="minorHAnsi" w:cs="Arial"/>
          <w:i/>
          <w:sz w:val="22"/>
          <w:szCs w:val="22"/>
          <w:u w:val="single"/>
        </w:rPr>
        <w:t>TRABAJOS A REALIZAR POR LA EMPRESA CONTRATISTA</w:t>
      </w:r>
    </w:p>
    <w:p w:rsidR="002F3BDB" w:rsidRDefault="002F3BDB" w:rsidP="001058F7">
      <w:pPr>
        <w:spacing w:line="276" w:lineRule="auto"/>
        <w:jc w:val="both"/>
        <w:rPr>
          <w:rFonts w:asciiTheme="minorHAnsi" w:hAnsiTheme="minorHAnsi" w:cs="Arial"/>
          <w:b/>
          <w:i/>
          <w:sz w:val="22"/>
          <w:szCs w:val="22"/>
        </w:rPr>
      </w:pPr>
    </w:p>
    <w:p w:rsidR="001058F7" w:rsidRPr="00662D83" w:rsidRDefault="001058F7" w:rsidP="001058F7">
      <w:pPr>
        <w:spacing w:line="276" w:lineRule="auto"/>
        <w:jc w:val="both"/>
        <w:rPr>
          <w:rFonts w:asciiTheme="minorHAnsi" w:hAnsiTheme="minorHAnsi" w:cs="Arial"/>
          <w:b/>
          <w:i/>
          <w:sz w:val="22"/>
          <w:szCs w:val="22"/>
        </w:rPr>
      </w:pPr>
      <w:r w:rsidRPr="00662D83">
        <w:rPr>
          <w:rFonts w:asciiTheme="minorHAnsi" w:hAnsiTheme="minorHAnsi" w:cs="Arial"/>
          <w:b/>
          <w:i/>
          <w:sz w:val="22"/>
          <w:szCs w:val="22"/>
        </w:rPr>
        <w:t>INSTALACION DE CAJA EQUIPOTENCIAL.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 xml:space="preserve">Se deberá prever la instalación de cajas anti estáticas donde se realizaran las mediciones y control del sistema de puesta a tierra, los conductores deberán conectarse a una sola </w:t>
      </w:r>
      <w:r w:rsidRPr="00662D83">
        <w:rPr>
          <w:rStyle w:val="nfasis"/>
          <w:rFonts w:cs="Arial"/>
          <w:b/>
          <w:i/>
          <w:sz w:val="22"/>
        </w:rPr>
        <w:t>barra de cobre</w:t>
      </w:r>
      <w:r w:rsidRPr="00662D83">
        <w:rPr>
          <w:rStyle w:val="nfasis"/>
          <w:rFonts w:cs="Arial"/>
          <w:i/>
          <w:sz w:val="22"/>
        </w:rPr>
        <w:t xml:space="preserve"> donde se consideraran todos los puntos de aterramiento (malla de jabalinas , estructura interna del EDR, caseta de protección) en una sola potencia estos conductores deberán estar diferenciados entre </w:t>
      </w:r>
      <w:proofErr w:type="spellStart"/>
      <w:r w:rsidRPr="00662D83">
        <w:rPr>
          <w:rStyle w:val="nfasis"/>
          <w:rFonts w:cs="Arial"/>
          <w:i/>
          <w:sz w:val="22"/>
        </w:rPr>
        <w:t>si</w:t>
      </w:r>
      <w:proofErr w:type="spellEnd"/>
      <w:r w:rsidRPr="00662D83">
        <w:rPr>
          <w:rStyle w:val="nfasis"/>
          <w:rFonts w:cs="Arial"/>
          <w:i/>
          <w:sz w:val="22"/>
        </w:rPr>
        <w:t xml:space="preserve"> para determinar a qué elemento pertenecen bajo la normas establecidas en la  IEEE Y LA NFPA 70 “NEC”, los materiales a usarse para la instalación del punto equipotencial (caja y demás elementos) deberán ser de primera calidad, debiendo ser presentados en la lista general de materiales.</w:t>
      </w:r>
      <w:bookmarkEnd w:id="2"/>
      <w:bookmarkEnd w:id="3"/>
      <w:bookmarkEnd w:id="4"/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>La ubicación e instalación de los gabinetes y de los puntos equipotenciales serán identificadas en coordinación entre la empresa adjudicada y YPFB.</w:t>
      </w:r>
    </w:p>
    <w:p w:rsidR="00D41E23" w:rsidRDefault="00D41E23" w:rsidP="001058F7">
      <w:pPr>
        <w:pStyle w:val="Textoindependiente"/>
        <w:spacing w:after="0" w:line="276" w:lineRule="auto"/>
        <w:jc w:val="both"/>
        <w:rPr>
          <w:rStyle w:val="nfasis"/>
          <w:rFonts w:cs="Arial"/>
          <w:b/>
          <w:i/>
          <w:sz w:val="22"/>
        </w:rPr>
      </w:pPr>
    </w:p>
    <w:p w:rsidR="00D41E23" w:rsidRDefault="00D41E23" w:rsidP="001058F7">
      <w:pPr>
        <w:pStyle w:val="Textoindependiente"/>
        <w:spacing w:after="0" w:line="276" w:lineRule="auto"/>
        <w:jc w:val="both"/>
        <w:rPr>
          <w:rStyle w:val="nfasis"/>
          <w:rFonts w:cs="Arial"/>
          <w:b/>
          <w:i/>
          <w:sz w:val="22"/>
        </w:rPr>
      </w:pP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b/>
          <w:i/>
          <w:sz w:val="22"/>
        </w:rPr>
      </w:pPr>
      <w:bookmarkStart w:id="5" w:name="_GoBack"/>
      <w:bookmarkEnd w:id="5"/>
      <w:r w:rsidRPr="00662D83">
        <w:rPr>
          <w:rStyle w:val="nfasis"/>
          <w:rFonts w:cs="Arial"/>
          <w:b/>
          <w:i/>
          <w:sz w:val="22"/>
        </w:rPr>
        <w:lastRenderedPageBreak/>
        <w:t>INSTALACION DE LA MALLA DE JABALINAS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 xml:space="preserve">La instalación de las jabalinas y los conductores de cobre deberán regirse a la normativa aplicada de la IEEE y la NEC, el empalme del sistema de mallas (unión de los conductores y jabalinas) deberá realizarse con soldadura </w:t>
      </w:r>
      <w:proofErr w:type="spellStart"/>
      <w:r w:rsidRPr="00662D83">
        <w:rPr>
          <w:rStyle w:val="nfasis"/>
          <w:rFonts w:cs="Arial"/>
          <w:i/>
          <w:sz w:val="22"/>
        </w:rPr>
        <w:t>cadweld</w:t>
      </w:r>
      <w:proofErr w:type="spellEnd"/>
      <w:r w:rsidRPr="00662D83">
        <w:rPr>
          <w:rStyle w:val="nfasis"/>
          <w:rFonts w:cs="Arial"/>
          <w:i/>
          <w:sz w:val="22"/>
        </w:rPr>
        <w:t xml:space="preserve"> CA 15 bajo los parámetros establecidos en la normativa vigente.         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>La instalación de la primera jabalina del Sistema de Puesta a Tierra al EDR deberá estar a una distancia mínima de 2m.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Fonts w:cs="Arial"/>
          <w:i/>
        </w:rPr>
        <w:t>Se debe considerar que el conductor de Cu debe estar enterrado a 60 cm. de profundidad y señalizado con cinta de seguridad, las jabalinas deberán estar separadas a una distancia tal que no produzcan interferencias entre sí mismas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 xml:space="preserve">La instalación de las jabalinas se deberá realizar bajo condiciones que aseguren la vida útil del sistema, evitando utilizar en el </w:t>
      </w:r>
      <w:proofErr w:type="spellStart"/>
      <w:r w:rsidRPr="00662D83">
        <w:rPr>
          <w:rStyle w:val="nfasis"/>
          <w:rFonts w:cs="Arial"/>
          <w:i/>
          <w:sz w:val="22"/>
        </w:rPr>
        <w:t>fozo</w:t>
      </w:r>
      <w:proofErr w:type="spellEnd"/>
      <w:r w:rsidRPr="00662D83">
        <w:rPr>
          <w:rStyle w:val="nfasis"/>
          <w:rFonts w:cs="Arial"/>
          <w:i/>
          <w:sz w:val="22"/>
        </w:rPr>
        <w:t xml:space="preserve"> de las jabalinas y el SPAT agentes corroyentes como sales y carbones. Al igual que en la zanjas de los conductores.</w:t>
      </w:r>
    </w:p>
    <w:p w:rsidR="001058F7" w:rsidRPr="00662D83" w:rsidRDefault="001058F7" w:rsidP="001058F7">
      <w:pPr>
        <w:pStyle w:val="Ttulo2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bookmarkStart w:id="6" w:name="_Toc328380459"/>
      <w:r w:rsidRPr="00662D83">
        <w:rPr>
          <w:rFonts w:asciiTheme="minorHAnsi" w:hAnsiTheme="minorHAnsi"/>
          <w:sz w:val="22"/>
          <w:szCs w:val="22"/>
        </w:rPr>
        <w:t>TRAMITES A SER REALIZADOS POR LA CONTRATISTA</w:t>
      </w:r>
      <w:bookmarkEnd w:id="6"/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>La contratista estará a cargo de gestionar los permisos ante la Alcaldía o la entidad correspondiente para la realización a todo en lo que se refiere a las excavaciones, picado de aceras o calzadas, reposición del material dañado y todo lo concerniente para la instalación de los SPAT.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>La empresa contratista gestionará todos los aspectos legales y administrativos para el uso del suelo Municipal (publico) para realizar el trabajo.</w:t>
      </w:r>
      <w:bookmarkStart w:id="7" w:name="_Toc328380460"/>
    </w:p>
    <w:p w:rsidR="001058F7" w:rsidRPr="00662D83" w:rsidRDefault="001058F7" w:rsidP="001058F7">
      <w:pPr>
        <w:pStyle w:val="Ttulo2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bookmarkStart w:id="8" w:name="_Toc328380461"/>
      <w:bookmarkEnd w:id="7"/>
      <w:r w:rsidRPr="00662D83">
        <w:rPr>
          <w:rFonts w:asciiTheme="minorHAnsi" w:hAnsiTheme="minorHAnsi"/>
          <w:sz w:val="22"/>
          <w:szCs w:val="22"/>
        </w:rPr>
        <w:t>OBRAS CIVILES</w:t>
      </w:r>
      <w:bookmarkEnd w:id="8"/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>El empresa contratista limpiará y nivelará todos los suelos afectados por la instalación del SPAT así mismo deberá dejar el terreno utilizado en las mismas condiciones encontradas, antes del inicio de los trabajos.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>Se debe considerar la reposición de aceras o  concreto en la base del EDR si es que por algún motivo se deba romper o modificar estas estructuras o aceras.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>Es deber de la empresa contratista solicitar los planos  de los servicios básicos para evitar afectar a otros servicios que vayan cercanos al SPAT a ser instalado, como ser las líneas de trasmisión de energía eléctrica, gas, teléfonos, agua potable, drenajes pluviales, alcantarillas, riego, etc.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>Todos los trabajos a realizar en la instalación de los sistemas de puesta a tierra, deberá contar con señalización de advertencia para el público.</w:t>
      </w:r>
    </w:p>
    <w:p w:rsidR="001058F7" w:rsidRPr="00662D83" w:rsidRDefault="001058F7" w:rsidP="001058F7">
      <w:pPr>
        <w:pStyle w:val="Ttulo2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bookmarkStart w:id="9" w:name="_Toc229288260"/>
      <w:bookmarkStart w:id="10" w:name="_Toc328380462"/>
      <w:r w:rsidRPr="00662D83">
        <w:rPr>
          <w:rFonts w:asciiTheme="minorHAnsi" w:hAnsiTheme="minorHAnsi"/>
          <w:sz w:val="22"/>
          <w:szCs w:val="22"/>
        </w:rPr>
        <w:lastRenderedPageBreak/>
        <w:t>MEDICIONES DE RESISTENCIA DEL SISTEMA DE PUESTA A TIERRA</w:t>
      </w:r>
      <w:bookmarkEnd w:id="9"/>
      <w:bookmarkEnd w:id="10"/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Style w:val="nfasis"/>
          <w:rFonts w:cs="Arial"/>
          <w:i/>
          <w:sz w:val="22"/>
        </w:rPr>
      </w:pPr>
      <w:r w:rsidRPr="00662D83">
        <w:rPr>
          <w:rStyle w:val="nfasis"/>
          <w:rFonts w:cs="Arial"/>
          <w:i/>
          <w:sz w:val="22"/>
        </w:rPr>
        <w:t>Una vez concluido la instalación del sistema de puesta a tierra (SPAT), en forma conjunta entre YPFB y el Contratista, se realizarán las mediciones  con la finalidad de verificar la resistencia obtenida.</w:t>
      </w:r>
    </w:p>
    <w:p w:rsidR="001058F7" w:rsidRPr="00662D83" w:rsidRDefault="001058F7" w:rsidP="001058F7">
      <w:pPr>
        <w:pStyle w:val="Textoindependiente"/>
        <w:spacing w:after="0" w:line="276" w:lineRule="auto"/>
        <w:jc w:val="both"/>
        <w:rPr>
          <w:rFonts w:cs="Arial"/>
          <w:i/>
          <w:iCs/>
        </w:rPr>
      </w:pPr>
      <w:r w:rsidRPr="00662D83">
        <w:rPr>
          <w:rStyle w:val="nfasis"/>
          <w:rFonts w:cs="Arial"/>
          <w:i/>
          <w:sz w:val="22"/>
        </w:rPr>
        <w:t xml:space="preserve">Al cabo de los 6 meses (por cambio de estación climatológica) en las instalaciones de los Sistemas de Puesta a Tierra, se realizará un relevamiento de mediciones conjuntamente con YPFB, para poder corroborar </w:t>
      </w:r>
      <w:bookmarkStart w:id="11" w:name="_Toc328380463"/>
      <w:r w:rsidRPr="00662D83">
        <w:rPr>
          <w:rStyle w:val="nfasis"/>
          <w:rFonts w:cs="Arial"/>
          <w:i/>
          <w:sz w:val="22"/>
        </w:rPr>
        <w:t>la resistencia obtenida y los cambios sufridos.</w:t>
      </w:r>
    </w:p>
    <w:bookmarkEnd w:id="11"/>
    <w:p w:rsidR="001058F7" w:rsidRPr="00662D83" w:rsidRDefault="001058F7" w:rsidP="001058F7">
      <w:pPr>
        <w:pStyle w:val="Ttulo1"/>
        <w:keepNext w:val="0"/>
        <w:spacing w:line="276" w:lineRule="auto"/>
        <w:rPr>
          <w:rFonts w:asciiTheme="minorHAnsi" w:hAnsiTheme="minorHAnsi" w:cs="Arial"/>
          <w:i/>
          <w:sz w:val="22"/>
          <w:szCs w:val="22"/>
          <w:lang w:val="es-ES"/>
        </w:rPr>
      </w:pPr>
    </w:p>
    <w:p w:rsidR="001058F7" w:rsidRPr="00662D83" w:rsidRDefault="001058F7" w:rsidP="001058F7">
      <w:pPr>
        <w:pStyle w:val="Ttulo1"/>
        <w:keepNext w:val="0"/>
        <w:spacing w:line="276" w:lineRule="auto"/>
        <w:rPr>
          <w:rFonts w:asciiTheme="minorHAnsi" w:hAnsiTheme="minorHAnsi" w:cs="Arial"/>
          <w:i/>
          <w:sz w:val="22"/>
          <w:szCs w:val="22"/>
          <w:lang w:val="es-ES_tradnl"/>
        </w:rPr>
      </w:pPr>
      <w:r w:rsidRPr="00662D83">
        <w:rPr>
          <w:rFonts w:asciiTheme="minorHAnsi" w:hAnsiTheme="minorHAnsi" w:cs="Arial"/>
          <w:i/>
          <w:sz w:val="22"/>
          <w:szCs w:val="22"/>
          <w:lang w:val="es-ES_tradnl"/>
        </w:rPr>
        <w:t>INSPECCION PREVIA</w:t>
      </w:r>
    </w:p>
    <w:p w:rsidR="001058F7" w:rsidRPr="00662D83" w:rsidRDefault="001058F7" w:rsidP="001058F7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  <w:r w:rsidRPr="00662D83">
        <w:rPr>
          <w:rFonts w:asciiTheme="minorHAnsi" w:hAnsiTheme="minorHAnsi" w:cs="Arial"/>
          <w:i/>
          <w:sz w:val="22"/>
          <w:szCs w:val="22"/>
        </w:rPr>
        <w:t xml:space="preserve">El Contratista podrá, opcionalmente antes de realizar su propuesta,  realizar por cuenta propia una visita  al lugar de la INSTALACION DEL SISTEMA DE PUESTA A TIERRA EN EL </w:t>
      </w:r>
      <w:proofErr w:type="spellStart"/>
      <w:r w:rsidRPr="00662D83">
        <w:rPr>
          <w:rFonts w:asciiTheme="minorHAnsi" w:hAnsiTheme="minorHAnsi" w:cs="Arial"/>
          <w:i/>
          <w:sz w:val="22"/>
          <w:szCs w:val="22"/>
        </w:rPr>
        <w:t>EDRs</w:t>
      </w:r>
      <w:proofErr w:type="spellEnd"/>
      <w:r w:rsidRPr="00662D83">
        <w:rPr>
          <w:rFonts w:asciiTheme="minorHAnsi" w:hAnsiTheme="minorHAnsi" w:cs="Arial"/>
          <w:i/>
          <w:sz w:val="22"/>
          <w:szCs w:val="22"/>
        </w:rPr>
        <w:t xml:space="preserve"> DE </w:t>
      </w:r>
      <w:r w:rsidR="00DB5F61" w:rsidRPr="00662D83">
        <w:rPr>
          <w:rFonts w:asciiTheme="minorHAnsi" w:hAnsiTheme="minorHAnsi" w:cs="Arial"/>
          <w:i/>
          <w:sz w:val="22"/>
          <w:szCs w:val="22"/>
        </w:rPr>
        <w:t>PANDURO, QUELCATA Y URB MINEROS 2000 d</w:t>
      </w:r>
      <w:r w:rsidRPr="00662D83">
        <w:rPr>
          <w:rFonts w:asciiTheme="minorHAnsi" w:hAnsiTheme="minorHAnsi" w:cs="Arial"/>
          <w:i/>
          <w:sz w:val="22"/>
          <w:szCs w:val="22"/>
        </w:rPr>
        <w:t>el distrito de Oruro.</w:t>
      </w:r>
    </w:p>
    <w:p w:rsidR="001058F7" w:rsidRPr="00662D83" w:rsidRDefault="001058F7" w:rsidP="001058F7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</w:p>
    <w:p w:rsidR="001058F7" w:rsidRPr="00662D83" w:rsidRDefault="001058F7" w:rsidP="001058F7">
      <w:pPr>
        <w:spacing w:line="276" w:lineRule="auto"/>
        <w:rPr>
          <w:rFonts w:asciiTheme="minorHAnsi" w:hAnsiTheme="minorHAnsi" w:cs="Arial"/>
          <w:b/>
          <w:i/>
          <w:sz w:val="22"/>
          <w:szCs w:val="22"/>
        </w:rPr>
      </w:pPr>
    </w:p>
    <w:p w:rsidR="001058F7" w:rsidRPr="00662D83" w:rsidRDefault="001058F7" w:rsidP="001058F7">
      <w:pPr>
        <w:spacing w:line="276" w:lineRule="auto"/>
        <w:rPr>
          <w:rFonts w:asciiTheme="minorHAnsi" w:hAnsiTheme="minorHAnsi" w:cs="Arial"/>
          <w:b/>
          <w:i/>
          <w:sz w:val="22"/>
          <w:szCs w:val="22"/>
        </w:rPr>
      </w:pPr>
    </w:p>
    <w:p w:rsidR="001058F7" w:rsidRPr="00662D83" w:rsidRDefault="001058F7" w:rsidP="001058F7">
      <w:pPr>
        <w:spacing w:line="276" w:lineRule="auto"/>
        <w:rPr>
          <w:rFonts w:asciiTheme="minorHAnsi" w:hAnsiTheme="minorHAnsi" w:cs="Arial"/>
          <w:b/>
          <w:i/>
          <w:sz w:val="22"/>
          <w:szCs w:val="22"/>
        </w:rPr>
      </w:pPr>
    </w:p>
    <w:p w:rsidR="001058F7" w:rsidRDefault="001058F7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2F3BDB" w:rsidRDefault="002F3BDB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2F3BDB" w:rsidRDefault="002F3BDB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2F3BDB" w:rsidRDefault="002F3BDB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2F3BDB" w:rsidRDefault="002F3BDB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2F3BDB" w:rsidRDefault="002F3BDB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2F3BDB" w:rsidRDefault="002F3BDB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2F3BDB" w:rsidRDefault="002F3BDB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2F3BDB" w:rsidRDefault="002F3BDB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2F3BDB" w:rsidRDefault="002F3BDB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2F3BDB" w:rsidRDefault="002F3BDB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2F3BDB" w:rsidRDefault="002F3BDB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2F3BDB" w:rsidRDefault="002F3BDB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2F3BDB" w:rsidRDefault="002F3BDB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2F3BDB" w:rsidRDefault="002F3BDB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2F3BDB" w:rsidRDefault="002F3BDB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2F3BDB" w:rsidRPr="00662D83" w:rsidRDefault="002F3BDB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DB5F61" w:rsidRPr="00662D83" w:rsidRDefault="00DB5F61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DB5F61" w:rsidRPr="00662D83" w:rsidRDefault="00DB5F61" w:rsidP="001058F7">
      <w:pPr>
        <w:spacing w:line="276" w:lineRule="auto"/>
        <w:rPr>
          <w:rFonts w:asciiTheme="minorHAnsi" w:hAnsiTheme="minorHAnsi"/>
          <w:sz w:val="22"/>
          <w:szCs w:val="22"/>
          <w:lang w:val="es-BO" w:eastAsia="es-BO"/>
        </w:rPr>
      </w:pPr>
    </w:p>
    <w:p w:rsidR="00DB5F61" w:rsidRPr="00662D83" w:rsidRDefault="00DB5F61" w:rsidP="001058F7">
      <w:pPr>
        <w:spacing w:line="276" w:lineRule="auto"/>
        <w:rPr>
          <w:rFonts w:asciiTheme="minorHAnsi" w:hAnsiTheme="minorHAnsi"/>
          <w:vanish/>
          <w:sz w:val="22"/>
          <w:szCs w:val="22"/>
          <w:lang w:val="es-BO" w:eastAsia="es-BO"/>
        </w:rPr>
      </w:pPr>
    </w:p>
    <w:p w:rsidR="001058F7" w:rsidRPr="00662D83" w:rsidRDefault="001058F7" w:rsidP="001058F7">
      <w:pPr>
        <w:spacing w:line="276" w:lineRule="auto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662D83">
        <w:rPr>
          <w:rFonts w:asciiTheme="minorHAnsi" w:hAnsiTheme="minorHAnsi"/>
          <w:b/>
          <w:sz w:val="22"/>
          <w:szCs w:val="22"/>
          <w:u w:val="single"/>
        </w:rPr>
        <w:t>ANEXO</w:t>
      </w:r>
    </w:p>
    <w:p w:rsidR="001058F7" w:rsidRPr="00662D83" w:rsidRDefault="001058F7" w:rsidP="001058F7">
      <w:pPr>
        <w:spacing w:line="276" w:lineRule="auto"/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1058F7" w:rsidRPr="00662D83" w:rsidRDefault="00987C82" w:rsidP="001058F7">
      <w:pPr>
        <w:spacing w:line="276" w:lineRule="auto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662D83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4218919" cy="6122822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991" cy="612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8F7" w:rsidRPr="00662D83" w:rsidRDefault="001058F7" w:rsidP="001058F7">
      <w:pPr>
        <w:spacing w:line="276" w:lineRule="auto"/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987C82" w:rsidRPr="00662D83" w:rsidRDefault="00987C82" w:rsidP="001058F7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662D83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4430621" cy="6430061"/>
            <wp:effectExtent l="0" t="0" r="8255" b="889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780" cy="643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82" w:rsidRPr="00662D83" w:rsidRDefault="00987C82" w:rsidP="001058F7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987C82" w:rsidRPr="00662D83" w:rsidRDefault="00987C82" w:rsidP="002F3BD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662D83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4440702" cy="6444691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908" cy="644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7C82" w:rsidRPr="00662D83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5D3" w:rsidRDefault="00BC45D3" w:rsidP="00E92156">
      <w:r>
        <w:separator/>
      </w:r>
    </w:p>
  </w:endnote>
  <w:endnote w:type="continuationSeparator" w:id="0">
    <w:p w:rsidR="00BC45D3" w:rsidRDefault="00BC45D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3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36"/>
      <w:gridCol w:w="4394"/>
    </w:tblGrid>
    <w:tr w:rsidR="007C774A" w:rsidRPr="009D7373" w:rsidTr="007C774A">
      <w:trPr>
        <w:trHeight w:val="419"/>
        <w:jc w:val="center"/>
      </w:trPr>
      <w:tc>
        <w:tcPr>
          <w:tcW w:w="49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7C774A" w:rsidRPr="00D179C6" w:rsidRDefault="007C774A" w:rsidP="00C13B52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D179C6">
            <w:rPr>
              <w:rFonts w:ascii="Calibri" w:hAnsi="Calibri" w:cs="Arial"/>
              <w:b/>
              <w:sz w:val="18"/>
              <w:szCs w:val="18"/>
            </w:rPr>
            <w:t>Elaborado por:</w:t>
          </w:r>
        </w:p>
      </w:tc>
      <w:tc>
        <w:tcPr>
          <w:tcW w:w="43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7C774A" w:rsidRPr="00D179C6" w:rsidRDefault="007C774A" w:rsidP="00C13B52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D179C6">
            <w:rPr>
              <w:rFonts w:ascii="Calibri" w:hAnsi="Calibri" w:cs="Arial"/>
              <w:b/>
              <w:sz w:val="18"/>
              <w:szCs w:val="18"/>
            </w:rPr>
            <w:t>Aprobado por:</w:t>
          </w:r>
        </w:p>
      </w:tc>
    </w:tr>
    <w:tr w:rsidR="007C774A" w:rsidRPr="009D7373" w:rsidTr="007C774A">
      <w:trPr>
        <w:trHeight w:val="977"/>
        <w:jc w:val="center"/>
      </w:trPr>
      <w:tc>
        <w:tcPr>
          <w:tcW w:w="49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C774A" w:rsidRPr="009D7373" w:rsidRDefault="007C774A" w:rsidP="00C13B52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  <w:p w:rsidR="007C774A" w:rsidRPr="009D7373" w:rsidRDefault="007C774A" w:rsidP="00C13B52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  <w:p w:rsidR="007C774A" w:rsidRPr="009D7373" w:rsidRDefault="007C774A" w:rsidP="00C13B52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  <w:p w:rsidR="007C774A" w:rsidRPr="009D7373" w:rsidRDefault="007C774A" w:rsidP="00C13B52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  <w:p w:rsidR="007C774A" w:rsidRPr="009D7373" w:rsidRDefault="007C774A" w:rsidP="00C13B52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</w:tc>
      <w:tc>
        <w:tcPr>
          <w:tcW w:w="43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C774A" w:rsidRPr="009D7373" w:rsidRDefault="007C774A" w:rsidP="00C13B52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</w:tc>
    </w:tr>
    <w:tr w:rsidR="007C774A" w:rsidTr="007C774A">
      <w:trPr>
        <w:trHeight w:val="487"/>
        <w:jc w:val="center"/>
      </w:trPr>
      <w:tc>
        <w:tcPr>
          <w:tcW w:w="49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7C774A" w:rsidRPr="00090AF3" w:rsidRDefault="007C774A" w:rsidP="00C13B52">
          <w:pPr>
            <w:jc w:val="center"/>
            <w:rPr>
              <w:rFonts w:ascii="Forte" w:hAnsi="Forte" w:cs="Arial"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Forte" w:hAnsi="Forte" w:cs="Arial"/>
              <w:color w:val="365F91"/>
              <w:sz w:val="14"/>
              <w:szCs w:val="12"/>
              <w:lang w:eastAsia="es-BO"/>
            </w:rPr>
            <w:t xml:space="preserve">Ing. </w:t>
          </w:r>
          <w:r>
            <w:rPr>
              <w:rFonts w:ascii="Forte" w:hAnsi="Forte" w:cs="Arial"/>
              <w:color w:val="365F91"/>
              <w:sz w:val="14"/>
              <w:szCs w:val="12"/>
              <w:lang w:eastAsia="es-BO"/>
            </w:rPr>
            <w:t xml:space="preserve">Wilder René Choque Paredes </w:t>
          </w:r>
        </w:p>
        <w:p w:rsidR="007C774A" w:rsidRPr="00090AF3" w:rsidRDefault="007C774A" w:rsidP="00C13B52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SUPERVISOR DE 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SISTEMA PRIMARIO 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- UD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OM</w:t>
          </w:r>
        </w:p>
        <w:p w:rsidR="007C774A" w:rsidRPr="00090AF3" w:rsidRDefault="007C774A" w:rsidP="00C13B52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DISTRITAL REDES DE GAS ORURO</w:t>
          </w:r>
        </w:p>
        <w:p w:rsidR="007C774A" w:rsidRPr="00090AF3" w:rsidRDefault="007C774A" w:rsidP="00C13B52">
          <w:pPr>
            <w:jc w:val="center"/>
            <w:rPr>
              <w:rFonts w:ascii="Calibri" w:hAnsi="Calibri" w:cs="Arial"/>
              <w:b/>
              <w:sz w:val="14"/>
              <w:szCs w:val="18"/>
              <w:highlight w:val="green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GRGD – Y.P.F.B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.</w:t>
          </w:r>
        </w:p>
      </w:tc>
      <w:tc>
        <w:tcPr>
          <w:tcW w:w="43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7C774A" w:rsidRPr="00090AF3" w:rsidRDefault="007C774A" w:rsidP="00C13B52">
          <w:pPr>
            <w:jc w:val="center"/>
            <w:rPr>
              <w:rFonts w:ascii="Forte" w:hAnsi="Forte" w:cs="Arial"/>
              <w:color w:val="365F91"/>
              <w:sz w:val="14"/>
              <w:szCs w:val="12"/>
              <w:lang w:eastAsia="es-BO"/>
            </w:rPr>
          </w:pPr>
          <w:r>
            <w:rPr>
              <w:rFonts w:ascii="Forte" w:hAnsi="Forte" w:cs="Arial"/>
              <w:color w:val="365F91"/>
              <w:sz w:val="14"/>
              <w:szCs w:val="12"/>
              <w:lang w:eastAsia="es-BO"/>
            </w:rPr>
            <w:t>Ing. Raúl Augusto Aliaga Tellez</w:t>
          </w:r>
        </w:p>
        <w:p w:rsidR="007C774A" w:rsidRPr="00090AF3" w:rsidRDefault="007C774A" w:rsidP="00C13B52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JEFE DE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 LA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 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UNIDAD DE OPERACION Y MANTENIMIENTO </w:t>
          </w:r>
        </w:p>
        <w:p w:rsidR="007C774A" w:rsidRPr="00090AF3" w:rsidRDefault="007C774A" w:rsidP="00C13B52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DISTRIT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O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 REDES DE GAS ORURO</w:t>
          </w:r>
        </w:p>
        <w:p w:rsidR="007C774A" w:rsidRPr="00090AF3" w:rsidRDefault="007C774A" w:rsidP="00C13B52">
          <w:pPr>
            <w:jc w:val="center"/>
            <w:rPr>
              <w:rFonts w:ascii="Calibri" w:hAnsi="Calibri" w:cs="Arial"/>
              <w:sz w:val="14"/>
              <w:szCs w:val="18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GNRGD – Y.P.F.B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.</w:t>
          </w:r>
        </w:p>
      </w:tc>
    </w:tr>
  </w:tbl>
  <w:p w:rsidR="007C774A" w:rsidRDefault="007C774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5D3" w:rsidRDefault="00BC45D3" w:rsidP="00E92156">
      <w:r>
        <w:separator/>
      </w:r>
    </w:p>
  </w:footnote>
  <w:footnote w:type="continuationSeparator" w:id="0">
    <w:p w:rsidR="00BC45D3" w:rsidRDefault="00BC45D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7C774A" w:rsidRPr="00FA0D94" w:rsidTr="007C774A">
      <w:tc>
        <w:tcPr>
          <w:tcW w:w="1446" w:type="dxa"/>
          <w:vMerge w:val="restart"/>
          <w:vAlign w:val="center"/>
        </w:tcPr>
        <w:p w:rsidR="007C774A" w:rsidRPr="00FA0D94" w:rsidRDefault="007C774A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640125" cy="527626"/>
                <wp:effectExtent l="0" t="0" r="7620" b="635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6177" cy="532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7C774A" w:rsidRDefault="00662D83" w:rsidP="00C9367C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YACIMIENTOS PETROLIFEROS FISCALES BOLIVIANOS</w:t>
          </w:r>
        </w:p>
        <w:p w:rsidR="00662D83" w:rsidRDefault="00662D83" w:rsidP="00C9367C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662D83" w:rsidRPr="0076024C" w:rsidRDefault="00662D83" w:rsidP="00C936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DE REDES ORURO</w:t>
          </w:r>
        </w:p>
      </w:tc>
      <w:tc>
        <w:tcPr>
          <w:tcW w:w="1134" w:type="dxa"/>
          <w:vAlign w:val="center"/>
        </w:tcPr>
        <w:p w:rsidR="007C774A" w:rsidRPr="0076024C" w:rsidRDefault="007C774A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7C774A" w:rsidRDefault="007C774A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8C650B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7C774A" w:rsidRPr="0076024C" w:rsidRDefault="007C774A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7C774A" w:rsidRPr="00FA0D94" w:rsidTr="007C774A">
      <w:trPr>
        <w:trHeight w:val="478"/>
      </w:trPr>
      <w:tc>
        <w:tcPr>
          <w:tcW w:w="1446" w:type="dxa"/>
          <w:vMerge/>
          <w:vAlign w:val="center"/>
        </w:tcPr>
        <w:p w:rsidR="007C774A" w:rsidRPr="00FA0D94" w:rsidRDefault="007C774A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7C774A" w:rsidRPr="0076024C" w:rsidRDefault="00662D83" w:rsidP="001058F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ESPECIFICACIONES TECNICAS PARA OBRAS ELECTRICAS</w:t>
          </w:r>
        </w:p>
      </w:tc>
      <w:tc>
        <w:tcPr>
          <w:tcW w:w="1134" w:type="dxa"/>
          <w:vAlign w:val="center"/>
        </w:tcPr>
        <w:p w:rsidR="007C774A" w:rsidRPr="0076024C" w:rsidRDefault="007C774A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7C774A" w:rsidRPr="0076024C" w:rsidRDefault="007C774A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F3BD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F3BD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7C774A" w:rsidRDefault="007C774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E50ED"/>
    <w:multiLevelType w:val="multilevel"/>
    <w:tmpl w:val="5A224AE0"/>
    <w:lvl w:ilvl="0">
      <w:start w:val="1"/>
      <w:numFmt w:val="decimal"/>
      <w:pStyle w:val="SUBT1de1"/>
      <w:lvlText w:val="%1."/>
      <w:lvlJc w:val="left"/>
      <w:pPr>
        <w:ind w:left="786" w:hanging="360"/>
      </w:pPr>
    </w:lvl>
    <w:lvl w:ilvl="1">
      <w:start w:val="1"/>
      <w:numFmt w:val="decimal"/>
      <w:pStyle w:val="SUBT2de2"/>
      <w:lvlText w:val="%1.%2."/>
      <w:lvlJc w:val="left"/>
      <w:pPr>
        <w:ind w:left="792" w:hanging="432"/>
      </w:pPr>
    </w:lvl>
    <w:lvl w:ilvl="2">
      <w:start w:val="1"/>
      <w:numFmt w:val="decimal"/>
      <w:pStyle w:val="SUBT3de3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6197118"/>
    <w:multiLevelType w:val="hybridMultilevel"/>
    <w:tmpl w:val="E7ECD144"/>
    <w:lvl w:ilvl="0" w:tplc="0C0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F2B3E0B"/>
    <w:multiLevelType w:val="hybridMultilevel"/>
    <w:tmpl w:val="D41842FC"/>
    <w:lvl w:ilvl="0" w:tplc="0C0A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365943A7"/>
    <w:multiLevelType w:val="hybridMultilevel"/>
    <w:tmpl w:val="8FD45F88"/>
    <w:lvl w:ilvl="0" w:tplc="69D8E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B0B3A"/>
    <w:multiLevelType w:val="hybridMultilevel"/>
    <w:tmpl w:val="38100AC2"/>
    <w:lvl w:ilvl="0" w:tplc="518A9A8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303239"/>
    <w:multiLevelType w:val="hybridMultilevel"/>
    <w:tmpl w:val="359C29C0"/>
    <w:lvl w:ilvl="0" w:tplc="1168014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C01790"/>
    <w:multiLevelType w:val="hybridMultilevel"/>
    <w:tmpl w:val="55E6A984"/>
    <w:lvl w:ilvl="0" w:tplc="400A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13F1"/>
    <w:rsid w:val="001058F7"/>
    <w:rsid w:val="00143954"/>
    <w:rsid w:val="001A64B5"/>
    <w:rsid w:val="001C624A"/>
    <w:rsid w:val="002A6439"/>
    <w:rsid w:val="002F3BDB"/>
    <w:rsid w:val="00394275"/>
    <w:rsid w:val="003C2345"/>
    <w:rsid w:val="004B2CAC"/>
    <w:rsid w:val="00662D83"/>
    <w:rsid w:val="00795C36"/>
    <w:rsid w:val="007C38E7"/>
    <w:rsid w:val="007C774A"/>
    <w:rsid w:val="008C650B"/>
    <w:rsid w:val="00900AF3"/>
    <w:rsid w:val="00987C82"/>
    <w:rsid w:val="00A345BD"/>
    <w:rsid w:val="00BC45D3"/>
    <w:rsid w:val="00C13B52"/>
    <w:rsid w:val="00C9367C"/>
    <w:rsid w:val="00D24C3F"/>
    <w:rsid w:val="00D41E23"/>
    <w:rsid w:val="00D436E3"/>
    <w:rsid w:val="00D5156C"/>
    <w:rsid w:val="00DA495E"/>
    <w:rsid w:val="00DB5F61"/>
    <w:rsid w:val="00E92156"/>
    <w:rsid w:val="00ED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1058F7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1058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1058F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1058F7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CM12">
    <w:name w:val="CM12"/>
    <w:basedOn w:val="Normal"/>
    <w:next w:val="Normal"/>
    <w:uiPriority w:val="99"/>
    <w:rsid w:val="001058F7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1058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  <w:style w:type="character" w:styleId="nfasis">
    <w:name w:val="Emphasis"/>
    <w:qFormat/>
    <w:rsid w:val="001058F7"/>
    <w:rPr>
      <w:iCs/>
      <w:sz w:val="20"/>
    </w:rPr>
  </w:style>
  <w:style w:type="paragraph" w:customStyle="1" w:styleId="PARRAFO">
    <w:name w:val="_PARRAFO"/>
    <w:basedOn w:val="CM12"/>
    <w:qFormat/>
    <w:rsid w:val="001058F7"/>
    <w:pPr>
      <w:spacing w:after="100" w:afterAutospacing="1" w:line="276" w:lineRule="auto"/>
      <w:jc w:val="both"/>
    </w:pPr>
    <w:rPr>
      <w:rFonts w:ascii="Calibri" w:eastAsia="Arial Unicode MS" w:hAnsi="Calibri" w:cs="Calibri"/>
    </w:rPr>
  </w:style>
  <w:style w:type="paragraph" w:customStyle="1" w:styleId="SUBT1de1">
    <w:name w:val="_SUBT 1 de 1"/>
    <w:basedOn w:val="Normal"/>
    <w:qFormat/>
    <w:rsid w:val="001058F7"/>
    <w:pPr>
      <w:keepNext/>
      <w:numPr>
        <w:numId w:val="8"/>
      </w:numPr>
      <w:spacing w:after="240"/>
      <w:outlineLvl w:val="0"/>
    </w:pPr>
    <w:rPr>
      <w:rFonts w:ascii="Calibri" w:eastAsia="Arial Unicode MS" w:hAnsi="Calibri" w:cs="Calibri"/>
      <w:b/>
      <w:bCs/>
      <w:szCs w:val="22"/>
    </w:rPr>
  </w:style>
  <w:style w:type="paragraph" w:customStyle="1" w:styleId="SUBT2de2">
    <w:name w:val="_SUBT 2 de 2"/>
    <w:basedOn w:val="SUBT1de1"/>
    <w:qFormat/>
    <w:rsid w:val="001058F7"/>
    <w:pPr>
      <w:numPr>
        <w:ilvl w:val="1"/>
      </w:numPr>
    </w:pPr>
  </w:style>
  <w:style w:type="paragraph" w:customStyle="1" w:styleId="SUBT3de3">
    <w:name w:val="_SUBT 3 de 3"/>
    <w:basedOn w:val="SUBT2de2"/>
    <w:qFormat/>
    <w:rsid w:val="001058F7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1313</Words>
  <Characters>7227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Wilder Rene Choque Paredes</cp:lastModifiedBy>
  <cp:revision>8</cp:revision>
  <dcterms:created xsi:type="dcterms:W3CDTF">2016-03-07T13:34:00Z</dcterms:created>
  <dcterms:modified xsi:type="dcterms:W3CDTF">2016-05-18T19:06:00Z</dcterms:modified>
</cp:coreProperties>
</file>