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8F" w:rsidRPr="00713BC2" w:rsidRDefault="00B616FD" w:rsidP="002627C7">
      <w:pPr>
        <w:pStyle w:val="Prrafodelista"/>
        <w:numPr>
          <w:ilvl w:val="0"/>
          <w:numId w:val="53"/>
        </w:numPr>
        <w:ind w:left="426"/>
        <w:rPr>
          <w:rFonts w:asciiTheme="minorHAnsi" w:hAnsiTheme="minorHAnsi"/>
          <w:b/>
          <w:sz w:val="22"/>
          <w:szCs w:val="22"/>
          <w:lang w:val="es-BO"/>
        </w:rPr>
      </w:pPr>
      <w:bookmarkStart w:id="0" w:name="_GoBack"/>
      <w:bookmarkEnd w:id="0"/>
      <w:r>
        <w:rPr>
          <w:rFonts w:asciiTheme="minorHAnsi" w:hAnsiTheme="minorHAnsi"/>
          <w:b/>
          <w:sz w:val="22"/>
          <w:szCs w:val="22"/>
          <w:lang w:val="es-BO"/>
        </w:rPr>
        <w:t>DERIVACIÓ</w:t>
      </w:r>
      <w:r w:rsidR="001F59BA" w:rsidRPr="00713BC2">
        <w:rPr>
          <w:rFonts w:asciiTheme="minorHAnsi" w:hAnsiTheme="minorHAnsi"/>
          <w:b/>
          <w:sz w:val="22"/>
          <w:szCs w:val="22"/>
          <w:lang w:val="es-BO"/>
        </w:rPr>
        <w:t>N DN 1”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UNIDAD: PTO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1F59BA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DEFINICIÓN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ind w:left="426" w:hanging="360"/>
        <w:jc w:val="both"/>
        <w:rPr>
          <w:rFonts w:asciiTheme="minorHAnsi" w:hAnsiTheme="minorHAnsi" w:cs="Calibri"/>
          <w:b/>
          <w:sz w:val="20"/>
          <w:szCs w:val="20"/>
        </w:rPr>
      </w:pPr>
    </w:p>
    <w:p w:rsidR="00F04AC9" w:rsidRDefault="004B0B6F" w:rsidP="004B0B6F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Este ítem corresponde a los trabajos para la </w:t>
      </w:r>
      <w:r w:rsidR="00A75AB7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realización de una derivación de DN 1” </w:t>
      </w:r>
      <w:r w:rsidR="00F04AC9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efectuando 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una perforación a </w:t>
      </w:r>
      <w:r w:rsidR="00F04AC9">
        <w:rPr>
          <w:rFonts w:asciiTheme="minorHAnsi" w:hAnsiTheme="minorHAnsi" w:cstheme="minorHAnsi"/>
          <w:kern w:val="28"/>
          <w:sz w:val="20"/>
          <w:szCs w:val="20"/>
          <w:lang w:val="es-ES_tradnl"/>
        </w:rPr>
        <w:t>la red primaria en operación (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con flujo</w:t>
      </w:r>
      <w:r w:rsidR="00F04AC9">
        <w:rPr>
          <w:rFonts w:asciiTheme="minorHAnsi" w:hAnsiTheme="minorHAnsi" w:cstheme="minorHAnsi"/>
          <w:kern w:val="28"/>
          <w:sz w:val="20"/>
          <w:szCs w:val="20"/>
          <w:lang w:val="es-ES_tradnl"/>
        </w:rPr>
        <w:t>)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</w:t>
      </w:r>
      <w:r w:rsidR="00F04AC9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ejecutando las siguientes actividades: 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soldadura de threadolet, ensayo de </w:t>
      </w:r>
      <w:r w:rsidR="00795EDB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partículas </w:t>
      </w:r>
      <w:r w:rsidR="00F04AC9">
        <w:rPr>
          <w:rFonts w:asciiTheme="minorHAnsi" w:hAnsiTheme="minorHAnsi" w:cstheme="minorHAnsi"/>
          <w:kern w:val="28"/>
          <w:sz w:val="20"/>
          <w:szCs w:val="20"/>
          <w:lang w:val="es-ES_tradnl"/>
        </w:rPr>
        <w:t>magnéticas</w:t>
      </w:r>
      <w:r w:rsidR="00795EDB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a soldadura de threadolet, pruebas de hermeticidad, recubrimiento con pintura anticorrosiva a superficie de tubería, y otros que se mencionan en la forma de ejecución.</w:t>
      </w:r>
    </w:p>
    <w:p w:rsidR="00F04AC9" w:rsidRDefault="00F04AC9" w:rsidP="004B0B6F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4B0B6F" w:rsidRPr="00713BC2" w:rsidRDefault="00F04AC9" w:rsidP="004B0B6F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La perforación </w:t>
      </w:r>
      <w:r w:rsidR="00B309D6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de DN 1” </w:t>
      </w:r>
      <w:r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a la red primaria en operación (con flujo) será realizada </w:t>
      </w:r>
      <w:r w:rsidR="00B309D6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por personal de YPFB-GRGD con el </w:t>
      </w:r>
      <w:r w:rsidRPr="00713BC2">
        <w:rPr>
          <w:rFonts w:asciiTheme="minorHAnsi" w:hAnsiTheme="minorHAnsi" w:cs="Calibri"/>
          <w:bCs/>
          <w:sz w:val="20"/>
          <w:szCs w:val="20"/>
        </w:rPr>
        <w:t xml:space="preserve">equipo </w:t>
      </w:r>
      <w:r w:rsidRPr="00713BC2">
        <w:rPr>
          <w:rFonts w:asciiTheme="minorHAnsi" w:hAnsiTheme="minorHAnsi" w:cs="Calibri"/>
          <w:b/>
          <w:sz w:val="20"/>
          <w:szCs w:val="20"/>
        </w:rPr>
        <w:t>TDW T-101 B-XL de propiedad de YPFB</w:t>
      </w:r>
      <w:r w:rsidR="00B309D6">
        <w:rPr>
          <w:rFonts w:asciiTheme="minorHAnsi" w:hAnsiTheme="minorHAnsi" w:cs="Calibri"/>
          <w:b/>
          <w:sz w:val="20"/>
          <w:szCs w:val="20"/>
        </w:rPr>
        <w:t>.</w:t>
      </w:r>
    </w:p>
    <w:p w:rsidR="004B0B6F" w:rsidRPr="00713BC2" w:rsidRDefault="004B0B6F" w:rsidP="001F59BA">
      <w:pPr>
        <w:autoSpaceDE w:val="0"/>
        <w:autoSpaceDN w:val="0"/>
        <w:adjustRightInd w:val="0"/>
        <w:spacing w:line="0" w:lineRule="atLeast"/>
        <w:ind w:left="426" w:hanging="360"/>
        <w:jc w:val="both"/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1F59BA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MATERIALES, HERRAMIENTAS Y EQUIPOS</w:t>
      </w:r>
    </w:p>
    <w:p w:rsidR="001F59BA" w:rsidRPr="00713BC2" w:rsidRDefault="001F59BA" w:rsidP="004B0B6F">
      <w:pPr>
        <w:rPr>
          <w:rFonts w:asciiTheme="minorHAnsi" w:hAnsiTheme="minorHAnsi" w:cs="Calibri"/>
          <w:b/>
          <w:sz w:val="20"/>
          <w:szCs w:val="20"/>
        </w:rPr>
      </w:pPr>
    </w:p>
    <w:p w:rsidR="004B0B6F" w:rsidRPr="00713BC2" w:rsidRDefault="004B0B6F" w:rsidP="004B0B6F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suministrará todos los materiales, herramientas, equipos apropiados (</w:t>
      </w:r>
      <w:r w:rsidR="00B309D6">
        <w:rPr>
          <w:rFonts w:asciiTheme="minorHAnsi" w:hAnsiTheme="minorHAnsi" w:cstheme="minorHAnsi"/>
          <w:kern w:val="28"/>
          <w:sz w:val="20"/>
          <w:szCs w:val="20"/>
          <w:lang w:val="es-ES_tradnl"/>
        </w:rPr>
        <w:t>equipos (Motosoldadora) y materiales para los trabajos de soldadura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, equipos y materiales para partículas </w:t>
      </w:r>
      <w:r w:rsidR="00F514EB"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magnéticas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, </w:t>
      </w:r>
      <w:r w:rsidR="00F514EB"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equipo para medición de espesores, 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equipo para pruebas hidrostáticas, etc.) para la ejecución de los trabajos señalados.</w:t>
      </w:r>
    </w:p>
    <w:p w:rsidR="004B0B6F" w:rsidRPr="00713BC2" w:rsidRDefault="004B0B6F" w:rsidP="004B0B6F">
      <w:pPr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1F59BA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PROCEDIMIENTO PARA LA EJECUCIÓN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</w:p>
    <w:p w:rsidR="004B0B6F" w:rsidRPr="00713BC2" w:rsidRDefault="004B0B6F" w:rsidP="004B0B6F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La empresa contratista deberá presentar procedimientos de los trabajos a ejecutar al Supervisor de Obra para su respectiva aprobación, los mismos que deberán contemplar como mínimo las siguientes recomendaciones.</w:t>
      </w:r>
    </w:p>
    <w:p w:rsidR="004B0B6F" w:rsidRPr="00713BC2" w:rsidRDefault="004B0B6F" w:rsidP="001F59BA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Inspección visual.</w:t>
      </w:r>
      <w:r w:rsidRPr="00713BC2">
        <w:rPr>
          <w:rFonts w:asciiTheme="minorHAnsi" w:hAnsiTheme="minorHAnsi" w:cs="Calibri"/>
          <w:sz w:val="20"/>
          <w:szCs w:val="20"/>
        </w:rPr>
        <w:t xml:space="preserve"> Una inspección visual detallada debe realizarse a las áreas de tubería principal donde se realizaran las soldaduras y la perforación, verificar que no existan posibles pittings de corrosión, daños mecánicos golpes, rayaduras que pudieran disminuir el espesor mínimo requerido. 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/>
          <w:b/>
          <w:sz w:val="20"/>
          <w:szCs w:val="20"/>
        </w:rPr>
        <w:t xml:space="preserve">Medición de espesores.- </w:t>
      </w:r>
      <w:r w:rsidRPr="00713BC2">
        <w:rPr>
          <w:rFonts w:asciiTheme="minorHAnsi" w:hAnsiTheme="minorHAnsi"/>
          <w:sz w:val="20"/>
          <w:szCs w:val="20"/>
        </w:rPr>
        <w:t xml:space="preserve">La empresa contratista antes de iniciar los trabajos deberá presentar el procedimiento escrito detallado para la medición de espesores que mínimamente cumpla los siguientes requisitos: 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Realizar una inspección visual comprobando:</w:t>
      </w:r>
    </w:p>
    <w:p w:rsidR="001F59BA" w:rsidRPr="00713BC2" w:rsidRDefault="001F59BA" w:rsidP="001F59BA">
      <w:pPr>
        <w:numPr>
          <w:ilvl w:val="1"/>
          <w:numId w:val="51"/>
        </w:numPr>
        <w:spacing w:line="0" w:lineRule="atLeast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que no existan soldaduras a una distancia menor a 8 cm. (incluyendo la soldadura longitudinal de la tubería con costura),</w:t>
      </w:r>
    </w:p>
    <w:p w:rsidR="001F59BA" w:rsidRPr="00713BC2" w:rsidRDefault="001F59BA" w:rsidP="001F59BA">
      <w:pPr>
        <w:numPr>
          <w:ilvl w:val="1"/>
          <w:numId w:val="51"/>
        </w:numPr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que no existan soldaduras de bridas o conexiones roscadas a una distancia menor a 46 cm.</w:t>
      </w:r>
    </w:p>
    <w:p w:rsidR="001F59BA" w:rsidRPr="00713BC2" w:rsidRDefault="001F59BA" w:rsidP="001F59BA">
      <w:pPr>
        <w:numPr>
          <w:ilvl w:val="1"/>
          <w:numId w:val="51"/>
        </w:numPr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que el tramo donde se realizara la soldadura y el trabajo de perforación se encuentre recto, sin ningún ángulo de doblado.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Dependiendo del nivel de acabado superficial requerido (SSPC-SP 2, SSPC-SP 5, etc.) limpiar bien la superficie del tubo en el sector de la soldadura de la derivación.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Contar con el certificado de calibración vigente del equipo de ultrasonido.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lastRenderedPageBreak/>
        <w:t>Hacer la medición de espesores preferentemente tipo Scan B en toda el área de la tubería donde se soldará la derivación.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Determinar que no exista la presencia de laminaciones en la tubería y que el espesor mínimo requerido medido en el metal base sea no menor de 4,8 mm. (según API 2201).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El personal que realizará los ensayos de medición de espesores será calificado de acuerdo con la práctica recomendada SNT-TC-1A de la ASNT en el método de Ultrasonido.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ind w:left="360"/>
        <w:jc w:val="both"/>
        <w:rPr>
          <w:rFonts w:asciiTheme="minorHAnsi" w:hAnsiTheme="minorHAnsi"/>
          <w:sz w:val="20"/>
          <w:szCs w:val="20"/>
        </w:rPr>
      </w:pPr>
    </w:p>
    <w:p w:rsidR="001F59BA" w:rsidRPr="00713BC2" w:rsidRDefault="001F59BA" w:rsidP="001F59BA">
      <w:pPr>
        <w:spacing w:line="0" w:lineRule="atLeast"/>
        <w:jc w:val="both"/>
        <w:rPr>
          <w:rFonts w:asciiTheme="minorHAnsi" w:hAnsiTheme="minorHAnsi"/>
          <w:b/>
          <w:sz w:val="20"/>
          <w:szCs w:val="20"/>
        </w:rPr>
      </w:pPr>
      <w:r w:rsidRPr="00713BC2">
        <w:rPr>
          <w:rFonts w:asciiTheme="minorHAnsi" w:hAnsiTheme="minorHAnsi"/>
          <w:b/>
          <w:sz w:val="20"/>
          <w:szCs w:val="20"/>
        </w:rPr>
        <w:t xml:space="preserve">Soldadura del </w:t>
      </w:r>
      <w:r w:rsidRPr="00713BC2">
        <w:rPr>
          <w:rFonts w:asciiTheme="minorHAnsi" w:hAnsiTheme="minorHAnsi"/>
          <w:b/>
          <w:color w:val="000000"/>
          <w:sz w:val="20"/>
          <w:szCs w:val="20"/>
        </w:rPr>
        <w:t>Threadolet</w:t>
      </w:r>
      <w:r w:rsidRPr="00713BC2">
        <w:rPr>
          <w:rFonts w:asciiTheme="minorHAnsi" w:hAnsiTheme="minorHAnsi"/>
          <w:b/>
          <w:sz w:val="20"/>
          <w:szCs w:val="20"/>
        </w:rPr>
        <w:t xml:space="preserve">.- </w:t>
      </w:r>
      <w:r w:rsidRPr="00713BC2">
        <w:rPr>
          <w:rFonts w:asciiTheme="minorHAnsi" w:hAnsiTheme="minorHAnsi"/>
          <w:sz w:val="20"/>
          <w:szCs w:val="20"/>
        </w:rPr>
        <w:t xml:space="preserve">La empresa contratista antes de iniciar los trabajos deberá presentar el procedimiento escrito detallado para la soldadura de la cañería de interconexión que mínimamente cumpla los siguientes requisitos: 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 xml:space="preserve"> Contar con la Especificación de Procedimiento de Soldadura calificado WPS de acuerdo a API 1104 Apéndice B (última edición) y debe incluir las siguientes consideraciones: evitar falla por quemón y fisuración por hidrogeno, para el trabajo a realizarse.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Soldadores Calificados de acuerdo a API 1104 Apéndice B deben realizar las tareas de soldadura para el Hot Tap, estas calificaciones deben ser realizadas siguiendo el WPS previamente calificado y validado por el Inspector de Soldadura, los soldadores también deben contar con su certificado de calificación 6G vigente emitido por el Instituto Boliviano de Normas y Calidad (IBNORCA).</w:t>
      </w:r>
    </w:p>
    <w:p w:rsidR="001F59BA" w:rsidRPr="00713BC2" w:rsidRDefault="001F59BA" w:rsidP="001F59BA">
      <w:pPr>
        <w:autoSpaceDE w:val="0"/>
        <w:autoSpaceDN w:val="0"/>
        <w:adjustRightInd w:val="0"/>
        <w:ind w:left="360"/>
        <w:jc w:val="both"/>
        <w:rPr>
          <w:rFonts w:asciiTheme="minorHAnsi" w:hAnsiTheme="minorHAnsi" w:cs="Calibri"/>
          <w:sz w:val="20"/>
          <w:szCs w:val="20"/>
        </w:rPr>
      </w:pP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 xml:space="preserve">Realizar la soldadura de la cañería de interconexión a una distancia: </w:t>
      </w:r>
    </w:p>
    <w:p w:rsidR="001F59BA" w:rsidRPr="00713BC2" w:rsidRDefault="001F59BA" w:rsidP="001F59BA">
      <w:pPr>
        <w:autoSpaceDE w:val="0"/>
        <w:autoSpaceDN w:val="0"/>
        <w:adjustRightInd w:val="0"/>
        <w:ind w:left="360"/>
        <w:jc w:val="both"/>
        <w:rPr>
          <w:rFonts w:asciiTheme="minorHAnsi" w:hAnsiTheme="minorHAnsi" w:cs="Calibri"/>
          <w:sz w:val="20"/>
          <w:szCs w:val="20"/>
        </w:rPr>
      </w:pPr>
    </w:p>
    <w:p w:rsidR="001F59BA" w:rsidRPr="00713BC2" w:rsidRDefault="001F59BA" w:rsidP="001F59BA">
      <w:pPr>
        <w:numPr>
          <w:ilvl w:val="1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No menor a 8 cm. de la soldadura más próxima (incluyendo la soldadura longitudinal de la tubería con costura).</w:t>
      </w:r>
    </w:p>
    <w:p w:rsidR="001F59BA" w:rsidRPr="00713BC2" w:rsidRDefault="001F59BA" w:rsidP="001F59BA">
      <w:pPr>
        <w:numPr>
          <w:ilvl w:val="1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No menor a 46 cm. De soldaduras de bridas o conexiones bridadas.</w:t>
      </w:r>
    </w:p>
    <w:p w:rsidR="001F59BA" w:rsidRPr="00713BC2" w:rsidRDefault="001F59BA" w:rsidP="001F59BA">
      <w:pPr>
        <w:spacing w:line="0" w:lineRule="atLeast"/>
        <w:ind w:left="348"/>
        <w:jc w:val="both"/>
        <w:rPr>
          <w:rFonts w:asciiTheme="minorHAnsi" w:hAnsiTheme="minorHAnsi" w:cs="Calibri"/>
          <w:sz w:val="20"/>
          <w:szCs w:val="20"/>
        </w:rPr>
      </w:pP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Se procederá a soldar la pieza según la API 1104.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Todos los trabajos de soldadura deberán ser inspeccionados y aprobados por el inspector de soldadura.</w:t>
      </w:r>
    </w:p>
    <w:p w:rsidR="001F59BA" w:rsidRPr="00713BC2" w:rsidRDefault="001F59BA" w:rsidP="001F59BA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0"/>
          <w:szCs w:val="20"/>
        </w:rPr>
      </w:pPr>
    </w:p>
    <w:p w:rsidR="001F59BA" w:rsidRPr="00713BC2" w:rsidRDefault="001F59BA" w:rsidP="001F59BA">
      <w:pPr>
        <w:spacing w:line="0" w:lineRule="atLeast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b/>
          <w:sz w:val="20"/>
          <w:szCs w:val="20"/>
        </w:rPr>
        <w:t xml:space="preserve">Inspección de la soldadura del </w:t>
      </w:r>
      <w:r w:rsidRPr="00713BC2">
        <w:rPr>
          <w:rFonts w:asciiTheme="minorHAnsi" w:hAnsiTheme="minorHAnsi"/>
          <w:b/>
          <w:color w:val="000000"/>
          <w:sz w:val="20"/>
          <w:szCs w:val="20"/>
        </w:rPr>
        <w:t>Threadolet</w:t>
      </w:r>
      <w:r w:rsidRPr="00713BC2">
        <w:rPr>
          <w:rFonts w:asciiTheme="minorHAnsi" w:hAnsiTheme="minorHAnsi"/>
          <w:b/>
          <w:sz w:val="20"/>
          <w:szCs w:val="20"/>
        </w:rPr>
        <w:t>.-</w:t>
      </w:r>
      <w:r w:rsidRPr="00713BC2">
        <w:rPr>
          <w:rFonts w:asciiTheme="minorHAnsi" w:hAnsiTheme="minorHAnsi"/>
          <w:sz w:val="20"/>
          <w:szCs w:val="20"/>
        </w:rPr>
        <w:t xml:space="preserve"> La empresa contratista antes de iniciar los trabajos deberá presentar el procedimiento escrito detallado para la inspección de la soldadura de la cañería de interconexión que mínimamente cumpla los siguientes requisitos:</w:t>
      </w:r>
    </w:p>
    <w:p w:rsidR="001F59BA" w:rsidRPr="00713BC2" w:rsidRDefault="001F59BA" w:rsidP="001F59BA">
      <w:pPr>
        <w:spacing w:line="0" w:lineRule="atLeast"/>
        <w:jc w:val="both"/>
        <w:rPr>
          <w:rFonts w:asciiTheme="minorHAnsi" w:hAnsiTheme="minorHAnsi"/>
          <w:sz w:val="20"/>
          <w:szCs w:val="20"/>
        </w:rPr>
      </w:pP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Realizar la inspección a la soldadura mediante el ensayo no destructivo de Partículas magnéticas, Ultrasonido o una combinación de ambas, adecuadas para detectar agrietamiento por hidrógeno. Sin excluir la inspección visual al 100% durante y después de la ejecución de la soldadura.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 xml:space="preserve">El personal que realiza los ensayos NDE Partículas Magnéticas o Ultrasonido será calificado </w:t>
      </w:r>
      <w:r w:rsidRPr="00713BC2">
        <w:rPr>
          <w:rFonts w:asciiTheme="minorHAnsi" w:hAnsiTheme="minorHAnsi"/>
          <w:sz w:val="20"/>
          <w:szCs w:val="20"/>
        </w:rPr>
        <w:t xml:space="preserve">y certificado como nivel II </w:t>
      </w:r>
      <w:r w:rsidRPr="00713BC2">
        <w:rPr>
          <w:rFonts w:asciiTheme="minorHAnsi" w:hAnsiTheme="minorHAnsi" w:cs="Calibri"/>
          <w:sz w:val="20"/>
          <w:szCs w:val="20"/>
        </w:rPr>
        <w:t>de acuerdo con la práctica recomendada SNT-TC-1A de la ASNT en el método de Ultrasonido o Partículas Magnéticas. De acuerdo a API 1104 Apéndice B (Párrafo B5 Nota: establece estos dos métodos como apropiados para la evaluación de soldaduras y fisuras en estas soldaduras).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La empresa contratista deberá presentar un informe que mínimamente contemple los siguientes requisitos:</w:t>
      </w:r>
    </w:p>
    <w:p w:rsidR="001F59BA" w:rsidRPr="00713BC2" w:rsidRDefault="001F59BA" w:rsidP="001F59BA">
      <w:pPr>
        <w:numPr>
          <w:ilvl w:val="1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lastRenderedPageBreak/>
        <w:t>Indicaciones no Rechazables: serán registradas como lo especifique la sección del Código de referencia ASME B 31.8 (API 1104).</w:t>
      </w:r>
    </w:p>
    <w:p w:rsidR="001F59BA" w:rsidRPr="00713BC2" w:rsidRDefault="001F59BA" w:rsidP="001F59BA">
      <w:pPr>
        <w:numPr>
          <w:ilvl w:val="1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Indicaciones Rechazables: Todas las indicaciones rechazables serán registradas incluyendo como mínimo la siguiente información:</w:t>
      </w:r>
    </w:p>
    <w:p w:rsidR="001F59BA" w:rsidRPr="00713BC2" w:rsidRDefault="001F59BA" w:rsidP="001F59BA">
      <w:pPr>
        <w:numPr>
          <w:ilvl w:val="2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tipo (lineal o redondeada),</w:t>
      </w:r>
    </w:p>
    <w:p w:rsidR="001F59BA" w:rsidRPr="00713BC2" w:rsidRDefault="001F59BA" w:rsidP="001F59BA">
      <w:pPr>
        <w:numPr>
          <w:ilvl w:val="2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localización, y</w:t>
      </w:r>
    </w:p>
    <w:p w:rsidR="001F59BA" w:rsidRPr="00713BC2" w:rsidRDefault="001F59BA" w:rsidP="001F59BA">
      <w:pPr>
        <w:numPr>
          <w:ilvl w:val="2"/>
          <w:numId w:val="5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extensión (longitud, diámetro o alineación).</w:t>
      </w:r>
    </w:p>
    <w:p w:rsidR="001F59BA" w:rsidRPr="00713BC2" w:rsidRDefault="001F59BA" w:rsidP="001F59BA">
      <w:pPr>
        <w:autoSpaceDE w:val="0"/>
        <w:autoSpaceDN w:val="0"/>
        <w:adjustRightInd w:val="0"/>
        <w:ind w:left="348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Además de todos los datos de la obra y reporte fotográfico, el formato del informe será previamente revisado y aprobado por el fiscal designado por YPFB.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 xml:space="preserve">Se deberá realizar la examinación con el método de partículas magnéticas a la soldadura de refuerzo </w:t>
      </w:r>
      <w:r w:rsidRPr="00713BC2">
        <w:rPr>
          <w:rFonts w:asciiTheme="minorHAnsi" w:hAnsiTheme="minorHAnsi"/>
          <w:sz w:val="20"/>
          <w:szCs w:val="20"/>
          <w:lang w:val="es-AR"/>
        </w:rPr>
        <w:t>dentro del rango de temperaturas establecido por el Fabricante, de otra forma, el procedimiento será calificado según Código ASME, Sección V, Artículo 1, párrafo T-150, a la temperatura propuesta.</w:t>
      </w:r>
    </w:p>
    <w:p w:rsidR="001F59BA" w:rsidRPr="00713BC2" w:rsidRDefault="001F59BA" w:rsidP="001F59BA">
      <w:pPr>
        <w:numPr>
          <w:ilvl w:val="0"/>
          <w:numId w:val="51"/>
        </w:num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>La examinación con el método de líquidos penetrantes o partículas magnéticas serán evaluados bajo la norma API 1104.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ind w:left="-12"/>
        <w:jc w:val="both"/>
        <w:rPr>
          <w:rFonts w:asciiTheme="minorHAnsi" w:hAnsiTheme="minorHAnsi"/>
          <w:b/>
          <w:sz w:val="20"/>
          <w:szCs w:val="20"/>
        </w:rPr>
      </w:pP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ind w:left="-12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b/>
          <w:sz w:val="20"/>
          <w:szCs w:val="20"/>
        </w:rPr>
        <w:t>Prueba hidrostática a la válvula.-</w:t>
      </w:r>
      <w:r w:rsidRPr="00713BC2">
        <w:rPr>
          <w:rFonts w:asciiTheme="minorHAnsi" w:hAnsiTheme="minorHAnsi"/>
          <w:sz w:val="20"/>
          <w:szCs w:val="20"/>
        </w:rPr>
        <w:t xml:space="preserve"> </w:t>
      </w:r>
      <w:r w:rsidRPr="00713BC2">
        <w:rPr>
          <w:rFonts w:asciiTheme="minorHAnsi" w:hAnsiTheme="minorHAnsi" w:cs="Calibri"/>
          <w:sz w:val="20"/>
          <w:szCs w:val="20"/>
        </w:rPr>
        <w:t xml:space="preserve">Antes de iniciar los trabajos la empresa contratista deberá presentar el procedimiento escrito detallado para la prueba hidrostática a la válvula que mínimamente cumpla </w:t>
      </w:r>
      <w:r w:rsidRPr="00713BC2">
        <w:rPr>
          <w:rFonts w:asciiTheme="minorHAnsi" w:hAnsiTheme="minorHAnsi"/>
          <w:sz w:val="20"/>
          <w:szCs w:val="20"/>
        </w:rPr>
        <w:t xml:space="preserve">los siguientes requisitos: </w:t>
      </w:r>
    </w:p>
    <w:p w:rsidR="001F59BA" w:rsidRPr="00713BC2" w:rsidRDefault="001F59BA" w:rsidP="001F59BA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 xml:space="preserve">Verificar que la válvula de derivación a ser instalada cuente con el respectivo certificado de calidad.  </w:t>
      </w:r>
    </w:p>
    <w:p w:rsidR="001F59BA" w:rsidRPr="00713BC2" w:rsidRDefault="001F59BA" w:rsidP="001F59BA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0"/>
          <w:szCs w:val="20"/>
        </w:rPr>
      </w:pPr>
      <w:r w:rsidRPr="00713BC2">
        <w:rPr>
          <w:rFonts w:asciiTheme="minorHAnsi" w:hAnsiTheme="minorHAnsi" w:cs="Calibri"/>
          <w:sz w:val="20"/>
          <w:szCs w:val="20"/>
        </w:rPr>
        <w:t xml:space="preserve">Se deberá realizar la prueba hidrostática de la válvula de derivación cuerpo y sello (cierre hermético) según la API 6D. Se verificará la variación de la presión a través de un manómetro instalado. </w:t>
      </w:r>
    </w:p>
    <w:p w:rsidR="001F59BA" w:rsidRPr="00713BC2" w:rsidRDefault="001F59BA" w:rsidP="001F59BA">
      <w:pPr>
        <w:spacing w:line="0" w:lineRule="atLeast"/>
        <w:ind w:left="348"/>
        <w:jc w:val="both"/>
        <w:rPr>
          <w:rFonts w:asciiTheme="minorHAnsi" w:hAnsiTheme="minorHAnsi"/>
          <w:sz w:val="20"/>
          <w:szCs w:val="20"/>
        </w:rPr>
      </w:pPr>
    </w:p>
    <w:p w:rsidR="001F59BA" w:rsidRPr="00713BC2" w:rsidRDefault="001F59BA" w:rsidP="001F59BA">
      <w:pPr>
        <w:spacing w:line="0" w:lineRule="atLeast"/>
        <w:jc w:val="both"/>
        <w:rPr>
          <w:rFonts w:asciiTheme="minorHAnsi" w:hAnsiTheme="minorHAnsi"/>
          <w:b/>
          <w:sz w:val="20"/>
          <w:szCs w:val="20"/>
        </w:rPr>
      </w:pPr>
      <w:r w:rsidRPr="00713BC2">
        <w:rPr>
          <w:rFonts w:asciiTheme="minorHAnsi" w:hAnsiTheme="minorHAnsi"/>
          <w:b/>
          <w:sz w:val="20"/>
          <w:szCs w:val="20"/>
        </w:rPr>
        <w:t xml:space="preserve">Prueba hidrostática de la derivación.- </w:t>
      </w:r>
      <w:r w:rsidRPr="00713BC2">
        <w:rPr>
          <w:rFonts w:asciiTheme="minorHAnsi" w:hAnsiTheme="minorHAnsi" w:cs="Calibri"/>
          <w:sz w:val="20"/>
          <w:szCs w:val="20"/>
        </w:rPr>
        <w:t>Antes de iniciar los trabajos la empresa contratista deberá presentar el procedimiento escrito detallado para la prueba hidrostática de la derivación que mínimamente cumpla los siguientes requisitos:</w:t>
      </w:r>
    </w:p>
    <w:p w:rsidR="001F59BA" w:rsidRPr="00713BC2" w:rsidRDefault="001F59BA" w:rsidP="001F59BA">
      <w:pPr>
        <w:numPr>
          <w:ilvl w:val="0"/>
          <w:numId w:val="51"/>
        </w:numPr>
        <w:spacing w:line="0" w:lineRule="atLeast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Realizar la prueba hidrostática de la derivación conjuntamente con la válvula a</w:t>
      </w:r>
      <w:r w:rsidR="004E596C" w:rsidRPr="00713BC2">
        <w:rPr>
          <w:rFonts w:asciiTheme="minorHAnsi" w:hAnsiTheme="minorHAnsi"/>
          <w:sz w:val="20"/>
          <w:szCs w:val="20"/>
        </w:rPr>
        <w:t xml:space="preserve"> </w:t>
      </w:r>
      <w:r w:rsidRPr="00713BC2">
        <w:rPr>
          <w:rFonts w:asciiTheme="minorHAnsi" w:hAnsiTheme="minorHAnsi"/>
          <w:sz w:val="20"/>
          <w:szCs w:val="20"/>
        </w:rPr>
        <w:t>l</w:t>
      </w:r>
      <w:r w:rsidR="004E596C" w:rsidRPr="00713BC2">
        <w:rPr>
          <w:rFonts w:asciiTheme="minorHAnsi" w:hAnsiTheme="minorHAnsi"/>
          <w:sz w:val="20"/>
          <w:szCs w:val="20"/>
        </w:rPr>
        <w:t>a</w:t>
      </w:r>
      <w:r w:rsidRPr="00713BC2">
        <w:rPr>
          <w:rFonts w:asciiTheme="minorHAnsi" w:hAnsiTheme="minorHAnsi"/>
          <w:sz w:val="20"/>
          <w:szCs w:val="20"/>
        </w:rPr>
        <w:t xml:space="preserve"> </w:t>
      </w:r>
      <w:r w:rsidR="004E596C" w:rsidRPr="00713BC2">
        <w:rPr>
          <w:rFonts w:asciiTheme="minorHAnsi" w:hAnsiTheme="minorHAnsi"/>
          <w:sz w:val="20"/>
          <w:szCs w:val="20"/>
        </w:rPr>
        <w:t xml:space="preserve">presión de 1.5 veces </w:t>
      </w:r>
      <w:r w:rsidRPr="00713BC2">
        <w:rPr>
          <w:rFonts w:asciiTheme="minorHAnsi" w:hAnsiTheme="minorHAnsi"/>
          <w:sz w:val="20"/>
          <w:szCs w:val="20"/>
        </w:rPr>
        <w:t>la presión de operación de la línea, por un tiempo de 30 minutos, durante este tiempo no deberá existir una caída de presión.</w:t>
      </w:r>
    </w:p>
    <w:p w:rsidR="001F59BA" w:rsidRPr="00713BC2" w:rsidRDefault="001F59BA" w:rsidP="001F59BA">
      <w:pPr>
        <w:spacing w:line="0" w:lineRule="atLeast"/>
        <w:ind w:left="360"/>
        <w:jc w:val="both"/>
        <w:rPr>
          <w:rFonts w:asciiTheme="minorHAnsi" w:hAnsiTheme="minorHAnsi"/>
          <w:sz w:val="20"/>
          <w:szCs w:val="20"/>
        </w:rPr>
      </w:pPr>
    </w:p>
    <w:p w:rsidR="001F59BA" w:rsidRPr="00713BC2" w:rsidRDefault="001F59BA" w:rsidP="001F59BA">
      <w:pPr>
        <w:spacing w:line="0" w:lineRule="atLeast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b/>
          <w:sz w:val="20"/>
          <w:szCs w:val="20"/>
        </w:rPr>
        <w:t xml:space="preserve">Perforación de la tubería.- </w:t>
      </w:r>
      <w:r w:rsidRPr="00713BC2">
        <w:rPr>
          <w:rFonts w:asciiTheme="minorHAnsi" w:hAnsiTheme="minorHAnsi"/>
          <w:sz w:val="20"/>
          <w:szCs w:val="20"/>
        </w:rPr>
        <w:t>Los</w:t>
      </w:r>
      <w:r w:rsidRPr="00713BC2">
        <w:rPr>
          <w:rFonts w:asciiTheme="minorHAnsi" w:hAnsiTheme="minorHAnsi"/>
          <w:b/>
          <w:sz w:val="20"/>
          <w:szCs w:val="20"/>
        </w:rPr>
        <w:t xml:space="preserve"> </w:t>
      </w:r>
      <w:r w:rsidRPr="00713BC2">
        <w:rPr>
          <w:rFonts w:asciiTheme="minorHAnsi" w:hAnsiTheme="minorHAnsi"/>
          <w:sz w:val="20"/>
          <w:szCs w:val="20"/>
        </w:rPr>
        <w:t xml:space="preserve">trabajos de perforación de las derivaciones de </w:t>
      </w:r>
      <w:r w:rsidR="00795EDB">
        <w:rPr>
          <w:rFonts w:asciiTheme="minorHAnsi" w:hAnsiTheme="minorHAnsi"/>
          <w:sz w:val="20"/>
          <w:szCs w:val="20"/>
        </w:rPr>
        <w:t>1</w:t>
      </w:r>
      <w:r w:rsidRPr="00713BC2">
        <w:rPr>
          <w:rFonts w:asciiTheme="minorHAnsi" w:hAnsiTheme="minorHAnsi"/>
          <w:sz w:val="20"/>
          <w:szCs w:val="20"/>
        </w:rPr>
        <w:t xml:space="preserve">” en el servicio de hot tap </w:t>
      </w:r>
      <w:r w:rsidRPr="00713BC2">
        <w:rPr>
          <w:rFonts w:asciiTheme="minorHAnsi" w:hAnsiTheme="minorHAnsi" w:cs="Calibri"/>
          <w:bCs/>
          <w:sz w:val="20"/>
          <w:szCs w:val="20"/>
        </w:rPr>
        <w:t xml:space="preserve">serán realizados por personal de YPFB que utilizara el equipo </w:t>
      </w:r>
      <w:r w:rsidRPr="00713BC2">
        <w:rPr>
          <w:rFonts w:asciiTheme="minorHAnsi" w:hAnsiTheme="minorHAnsi" w:cs="Calibri"/>
          <w:b/>
          <w:sz w:val="20"/>
          <w:szCs w:val="20"/>
        </w:rPr>
        <w:t xml:space="preserve">TDW T-101 B-XL de propiedad de YPFB, </w:t>
      </w:r>
      <w:r w:rsidRPr="00713BC2">
        <w:rPr>
          <w:rFonts w:asciiTheme="minorHAnsi" w:hAnsiTheme="minorHAnsi" w:cs="Calibri"/>
          <w:sz w:val="20"/>
          <w:szCs w:val="20"/>
        </w:rPr>
        <w:t>que</w:t>
      </w:r>
      <w:r w:rsidRPr="00713BC2">
        <w:rPr>
          <w:rFonts w:asciiTheme="minorHAnsi" w:hAnsiTheme="minorHAnsi"/>
          <w:sz w:val="20"/>
          <w:szCs w:val="20"/>
        </w:rPr>
        <w:t xml:space="preserve"> mínimamente cumpla los siguientes requisitos:</w:t>
      </w:r>
    </w:p>
    <w:p w:rsidR="001F59BA" w:rsidRPr="00713BC2" w:rsidRDefault="001F59BA" w:rsidP="001F59BA">
      <w:pPr>
        <w:numPr>
          <w:ilvl w:val="0"/>
          <w:numId w:val="51"/>
        </w:numPr>
        <w:spacing w:line="0" w:lineRule="atLeast"/>
        <w:jc w:val="both"/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El tamaño de la perforación debe ser como mínimo el 90% del diámetro interno de la línea de derivación.</w:t>
      </w:r>
    </w:p>
    <w:p w:rsidR="001F59BA" w:rsidRPr="00713BC2" w:rsidRDefault="001F59BA" w:rsidP="001F59BA">
      <w:pPr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Verificar que los cupones de la perforación fueron extraídos</w:t>
      </w:r>
      <w:r w:rsidR="00795EDB">
        <w:rPr>
          <w:rFonts w:asciiTheme="minorHAnsi" w:hAnsiTheme="minorHAnsi"/>
          <w:sz w:val="20"/>
          <w:szCs w:val="20"/>
        </w:rPr>
        <w:t xml:space="preserve"> (si corresponde según el diámetro de perforación)</w:t>
      </w:r>
      <w:r w:rsidRPr="00713BC2">
        <w:rPr>
          <w:rFonts w:asciiTheme="minorHAnsi" w:hAnsiTheme="minorHAnsi"/>
          <w:sz w:val="20"/>
          <w:szCs w:val="20"/>
        </w:rPr>
        <w:t>.</w:t>
      </w:r>
    </w:p>
    <w:p w:rsidR="001F59BA" w:rsidRPr="00713BC2" w:rsidRDefault="001F59BA" w:rsidP="001F59BA">
      <w:pPr>
        <w:rPr>
          <w:rFonts w:asciiTheme="minorHAnsi" w:hAnsiTheme="minorHAnsi"/>
          <w:sz w:val="20"/>
          <w:szCs w:val="20"/>
        </w:rPr>
      </w:pPr>
    </w:p>
    <w:p w:rsidR="001F59BA" w:rsidRPr="00713BC2" w:rsidRDefault="001F59BA" w:rsidP="001F59BA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MEDIDAS PARA LA MITIGACION AMBIENTAL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ind w:left="66"/>
        <w:jc w:val="both"/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4E596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tomará todas las medidas razonables para proteger el medio ambiente (tanto dentro como fuera del Lugar de las Obras) y para limitar los daños y las alteraciones que se puedan crear a las personas y las propiedades como consecuencia de la contaminación, polvo,  el ruido y otros resultados de sus operaciones en cumplimiento de la ley 1333. El Contratista velará por que las emisiones y las descargas 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lastRenderedPageBreak/>
        <w:t>superficiales y efluentes que se produzcan como resultado de sus actividades no excedan los valores señalados en las Especificaciones o dispuestas por las leyes aplicables.</w:t>
      </w:r>
    </w:p>
    <w:p w:rsidR="001F59BA" w:rsidRPr="00713BC2" w:rsidRDefault="001F59BA" w:rsidP="004E596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1F59BA" w:rsidRPr="00713BC2" w:rsidRDefault="001F59BA" w:rsidP="004E596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1F59BA" w:rsidRPr="00713BC2" w:rsidRDefault="001F59BA" w:rsidP="004E596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1F59BA" w:rsidRPr="00713BC2" w:rsidRDefault="001F59BA" w:rsidP="004E596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</w:t>
      </w:r>
    </w:p>
    <w:p w:rsidR="001F59BA" w:rsidRPr="00713BC2" w:rsidRDefault="001F59BA" w:rsidP="004E596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1F59BA" w:rsidRPr="00713BC2" w:rsidRDefault="001F59BA" w:rsidP="004E596C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enviará al Ingeniero, a la mayor brevedad posible, información detallada sobre cualquier accidente que ocurra. El Contratista mantendrá un registro y hará informes acerca de la salud, la seguridad y el bienestar de las personas, así como de los daños a la propiedad, según lo solicite razonablemente el Ingeniero.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ind w:left="66"/>
        <w:jc w:val="both"/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1F59BA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MEDICION Y FORMA DE PAGO</w:t>
      </w:r>
    </w:p>
    <w:p w:rsidR="001F59BA" w:rsidRPr="00713BC2" w:rsidRDefault="001F59BA" w:rsidP="001F59BA">
      <w:pPr>
        <w:autoSpaceDE w:val="0"/>
        <w:autoSpaceDN w:val="0"/>
        <w:adjustRightInd w:val="0"/>
        <w:spacing w:line="0" w:lineRule="atLeast"/>
        <w:ind w:left="66"/>
        <w:jc w:val="both"/>
        <w:rPr>
          <w:rFonts w:asciiTheme="minorHAnsi" w:hAnsiTheme="minorHAnsi" w:cs="Calibri"/>
          <w:b/>
          <w:sz w:val="20"/>
          <w:szCs w:val="20"/>
        </w:rPr>
      </w:pPr>
    </w:p>
    <w:p w:rsidR="001F59BA" w:rsidRPr="00713BC2" w:rsidRDefault="001F59BA" w:rsidP="001F59BA">
      <w:pPr>
        <w:pStyle w:val="Estilo1"/>
        <w:spacing w:line="276" w:lineRule="auto"/>
        <w:contextualSpacing/>
        <w:rPr>
          <w:rFonts w:asciiTheme="minorHAnsi" w:hAnsiTheme="minorHAnsi" w:cstheme="minorHAnsi"/>
          <w:b w:val="0"/>
          <w:sz w:val="20"/>
          <w:szCs w:val="20"/>
        </w:rPr>
      </w:pPr>
      <w:r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El ítem de </w:t>
      </w:r>
      <w:r w:rsidR="004E596C"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>derivación DN 1”</w:t>
      </w:r>
      <w:r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 será medido </w:t>
      </w:r>
      <w:r w:rsidR="004E596C"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por </w:t>
      </w:r>
      <w:r w:rsidR="004E596C" w:rsidRPr="00713BC2">
        <w:rPr>
          <w:rFonts w:asciiTheme="minorHAnsi" w:hAnsiTheme="minorHAnsi" w:cstheme="minorHAnsi"/>
          <w:kern w:val="28"/>
          <w:sz w:val="20"/>
          <w:szCs w:val="20"/>
        </w:rPr>
        <w:t>punto</w:t>
      </w:r>
      <w:r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>, en concordancia con lo establecido en los requerimientos técnicos, los cuales serán aprobados y reconocidos por el SUPERVISOR DE OBRA. La forma de pago se efectuara de acuerdo al precio unitario de la propuesta aceptada y deberá respaldarse con un registro fotográfico de cada actividad que se realice en el presente ítem.</w:t>
      </w:r>
    </w:p>
    <w:p w:rsidR="001F59BA" w:rsidRPr="00713BC2" w:rsidRDefault="001F59BA" w:rsidP="001F59BA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Dicho precio será compensación total por los materiales, mano de obra, herramientas, equipo como otros gastos que sean necesarios para la adecuada y correcta ejecución de los trabajos, esto incluye el costo de provisión de el o los letreros y su respectiva colocación, la construcción o alquiler de depósitos para la instalación de faenas y/o la ocupación de vía. En ningún caso se admitirá letreros que no estén debidamente instalados.</w:t>
      </w:r>
    </w:p>
    <w:p w:rsidR="00F514EB" w:rsidRDefault="00F514EB" w:rsidP="001F59BA">
      <w:pPr>
        <w:autoSpaceDE w:val="0"/>
        <w:autoSpaceDN w:val="0"/>
        <w:adjustRightInd w:val="0"/>
        <w:spacing w:line="0" w:lineRule="atLeast"/>
        <w:ind w:left="66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:rsidR="00D935DF" w:rsidRPr="00713BC2" w:rsidRDefault="00D935DF" w:rsidP="001F59BA">
      <w:pPr>
        <w:autoSpaceDE w:val="0"/>
        <w:autoSpaceDN w:val="0"/>
        <w:adjustRightInd w:val="0"/>
        <w:spacing w:line="0" w:lineRule="atLeast"/>
        <w:ind w:left="66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:rsidR="00F514EB" w:rsidRPr="00713BC2" w:rsidRDefault="00F514EB" w:rsidP="00F514EB">
      <w:pPr>
        <w:pStyle w:val="Prrafodelista"/>
        <w:numPr>
          <w:ilvl w:val="0"/>
          <w:numId w:val="53"/>
        </w:numPr>
        <w:ind w:left="426"/>
        <w:rPr>
          <w:rFonts w:asciiTheme="minorHAnsi" w:hAnsiTheme="minorHAnsi"/>
          <w:b/>
          <w:sz w:val="22"/>
          <w:szCs w:val="22"/>
          <w:lang w:val="es-BO"/>
        </w:rPr>
      </w:pPr>
      <w:r w:rsidRPr="00713BC2">
        <w:rPr>
          <w:rFonts w:asciiTheme="minorHAnsi" w:hAnsiTheme="minorHAnsi"/>
          <w:b/>
          <w:sz w:val="22"/>
          <w:szCs w:val="22"/>
          <w:lang w:val="es-BO"/>
        </w:rPr>
        <w:t xml:space="preserve">PROVISION KIT DE MATERIALES Y ACCESORIOS 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UNIDAD: KIT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DEFINICIÓN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ind w:left="426" w:hanging="360"/>
        <w:jc w:val="both"/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Comprende la provisión del kit de materiales y accesorios, necesarios para la instalación de un punto de registro electrónico de presión (manómetro) en la línea de red primaria.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ind w:left="426" w:hanging="360"/>
        <w:jc w:val="both"/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MATERIALES, HERRAMIENTAS Y EQUIPOS</w:t>
      </w:r>
    </w:p>
    <w:p w:rsidR="00F514EB" w:rsidRPr="00713BC2" w:rsidRDefault="00F514EB" w:rsidP="00F514EB">
      <w:pPr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proveerá todos los materiales, herramientas y equipo necesarios, para realizar las actividades de provisión kit de materiales y accesorios de acuerdo a la siguiente tabla: </w:t>
      </w:r>
    </w:p>
    <w:p w:rsidR="00F514EB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D935DF" w:rsidRDefault="00D935DF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D935DF" w:rsidRDefault="00D935DF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D935DF" w:rsidRPr="00713BC2" w:rsidRDefault="00D935DF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F514EB" w:rsidRPr="00713BC2" w:rsidRDefault="00F514EB" w:rsidP="00F514EB">
      <w:pPr>
        <w:jc w:val="center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CONFIGURACION DEL ARREGLO</w:t>
      </w:r>
    </w:p>
    <w:p w:rsidR="00F514EB" w:rsidRPr="00713BC2" w:rsidRDefault="00F514EB" w:rsidP="00F514EB">
      <w:pPr>
        <w:rPr>
          <w:rFonts w:asciiTheme="minorHAnsi" w:hAnsiTheme="minorHAnsi" w:cs="Calibri"/>
          <w:b/>
          <w:sz w:val="20"/>
          <w:szCs w:val="20"/>
        </w:rPr>
      </w:pP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269"/>
        <w:gridCol w:w="3044"/>
        <w:gridCol w:w="2731"/>
      </w:tblGrid>
      <w:tr w:rsidR="00F514EB" w:rsidRPr="00713BC2" w:rsidTr="00F514EB">
        <w:trPr>
          <w:trHeight w:val="328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13BC2">
              <w:rPr>
                <w:rFonts w:asciiTheme="minorHAnsi" w:hAnsiTheme="minorHAnsi"/>
                <w:b/>
                <w:sz w:val="20"/>
                <w:szCs w:val="20"/>
              </w:rPr>
              <w:t>CANTIDAD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13BC2">
              <w:rPr>
                <w:rFonts w:asciiTheme="minorHAnsi" w:hAnsi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13BC2">
              <w:rPr>
                <w:rFonts w:asciiTheme="minorHAnsi" w:hAnsiTheme="minorHAnsi"/>
                <w:b/>
                <w:sz w:val="20"/>
                <w:szCs w:val="20"/>
              </w:rPr>
              <w:t>DESCRIPCION DEL MATERIAL</w:t>
            </w:r>
          </w:p>
        </w:tc>
        <w:tc>
          <w:tcPr>
            <w:tcW w:w="2731" w:type="dxa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13BC2">
              <w:rPr>
                <w:rFonts w:asciiTheme="minorHAnsi" w:hAnsiTheme="minorHAnsi"/>
                <w:b/>
                <w:sz w:val="20"/>
                <w:szCs w:val="20"/>
              </w:rPr>
              <w:t>OBSERVACIONES</w:t>
            </w:r>
          </w:p>
        </w:tc>
      </w:tr>
      <w:tr w:rsidR="00F514EB" w:rsidRPr="00713BC2" w:rsidTr="00C92552">
        <w:trPr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pieza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Adaptador rosca NPT(M) ¼” a rosca G ¼” (H)</w:t>
            </w:r>
          </w:p>
        </w:tc>
        <w:tc>
          <w:tcPr>
            <w:tcW w:w="2731" w:type="dxa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4FA26E6B" wp14:editId="2572E5E6">
                  <wp:extent cx="630555" cy="432435"/>
                  <wp:effectExtent l="99060" t="53340" r="97155" b="59055"/>
                  <wp:docPr id="12" name="Imagen 12" descr="Descripción: http://www.legris.com/jahia/webdav/site/legris/shared/BP/Images/produits/P_05_06_03_1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www.legris.com/jahia/webdav/site/legris/shared/BP/Images/produits/P_05_06_03_1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96" t="27719" r="12631" b="23418"/>
                          <a:stretch>
                            <a:fillRect/>
                          </a:stretch>
                        </pic:blipFill>
                        <pic:spPr bwMode="auto">
                          <a:xfrm rot="-6426524">
                            <a:off x="0" y="0"/>
                            <a:ext cx="630555" cy="43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EB" w:rsidRPr="00713BC2" w:rsidTr="00C92552">
        <w:trPr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pieza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Válvula Aguja ¼” NPT(M)* ¼” NPT(H)</w:t>
            </w:r>
            <w:r w:rsidR="00713BC2" w:rsidRPr="00713BC2">
              <w:rPr>
                <w:rFonts w:asciiTheme="minorHAnsi" w:hAnsiTheme="minorHAnsi"/>
                <w:sz w:val="20"/>
                <w:szCs w:val="20"/>
              </w:rPr>
              <w:t xml:space="preserve"> acero inoxidable</w:t>
            </w:r>
          </w:p>
        </w:tc>
        <w:tc>
          <w:tcPr>
            <w:tcW w:w="2731" w:type="dxa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</w:pPr>
            <w:r w:rsidRPr="00713BC2"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43EA7907" wp14:editId="1531DE88">
                  <wp:extent cx="657225" cy="981075"/>
                  <wp:effectExtent l="9525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6572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BC2" w:rsidRPr="00713BC2" w:rsidTr="00C92552">
        <w:trPr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713BC2" w:rsidRPr="00713BC2" w:rsidRDefault="00713BC2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713BC2" w:rsidRPr="00713BC2" w:rsidRDefault="00713BC2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pieza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713BC2" w:rsidRPr="00713BC2" w:rsidRDefault="00713BC2" w:rsidP="00713BC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Niple Hexagonal de ¼” Clase 3000 NPT según ASME B 1.20.1, material ASTM A 105</w:t>
            </w:r>
          </w:p>
        </w:tc>
        <w:tc>
          <w:tcPr>
            <w:tcW w:w="2731" w:type="dxa"/>
          </w:tcPr>
          <w:p w:rsidR="00713BC2" w:rsidRPr="00713BC2" w:rsidRDefault="00713BC2" w:rsidP="00C92552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</w:pPr>
            <w:r w:rsidRPr="00713BC2"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3532CAD8" wp14:editId="789C8639">
                  <wp:extent cx="381000" cy="495300"/>
                  <wp:effectExtent l="0" t="0" r="0" b="0"/>
                  <wp:docPr id="13" name="Imagen 13" descr="Descripción: http://www.siars.com.br/_site/img_produtos/siars-38e9b829e9dafb8c67c622d4ddcaa4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http://www.siars.com.br/_site/img_produtos/siars-38e9b829e9dafb8c67c622d4ddcaa4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40" t="7201" r="18839" b="9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EB" w:rsidRPr="00713BC2" w:rsidTr="00C92552">
        <w:trPr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pieza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F514EB" w:rsidRPr="00713BC2" w:rsidRDefault="00713BC2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Buje reductor 1” NPT(M)* ¼” NPT(H)</w:t>
            </w:r>
          </w:p>
        </w:tc>
        <w:tc>
          <w:tcPr>
            <w:tcW w:w="2731" w:type="dxa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27D63D08" wp14:editId="60F02D5A">
                  <wp:extent cx="568325" cy="539115"/>
                  <wp:effectExtent l="114300" t="133350" r="79375" b="127635"/>
                  <wp:docPr id="11" name="Imagen 11" descr="Descripción: http://galleryplus.ebayimg.com/ws/web/280835250813_1_0_1/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http://galleryplus.ebayimg.com/ws/web/280835250813_1_0_1/10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90" t="21266" r="20270" b="18848"/>
                          <a:stretch>
                            <a:fillRect/>
                          </a:stretch>
                        </pic:blipFill>
                        <pic:spPr bwMode="auto">
                          <a:xfrm rot="2640735">
                            <a:off x="0" y="0"/>
                            <a:ext cx="56832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EB" w:rsidRPr="00713BC2" w:rsidTr="00C92552">
        <w:trPr>
          <w:trHeight w:val="970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pieza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F514EB" w:rsidRPr="00713BC2" w:rsidRDefault="00713BC2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Válvula esférica de paso total 1” 1000 psi NPTH, indistinto 1, 2 o 3 piezas. Material por convenir.</w:t>
            </w:r>
          </w:p>
        </w:tc>
        <w:tc>
          <w:tcPr>
            <w:tcW w:w="2731" w:type="dxa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7908C08A" wp14:editId="5FCF6F15">
                  <wp:extent cx="1076325" cy="628650"/>
                  <wp:effectExtent l="0" t="4762" r="4762" b="4763"/>
                  <wp:docPr id="9" name="Imagen 9" descr="Descripción: http://es.sun-inox.com/wp-content/uploads/2014/04/VALVULA-ESFERICA-3-CUERPOS-INOX-CALIDAD-316-1000WOG-SUN-1-CON-BASE-PARA-TO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ción: http://es.sun-inox.com/wp-content/uploads/2014/04/VALVULA-ESFERICA-3-CUERPOS-INOX-CALIDAD-316-1000WOG-SUN-1-CON-BASE-PARA-TO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076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EB" w:rsidRPr="00713BC2" w:rsidTr="00C92552">
        <w:trPr>
          <w:trHeight w:val="970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pieza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F514EB" w:rsidRPr="00713BC2" w:rsidRDefault="00713BC2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Niple Hexagonal de 1” Clase 3000 NPT según ASME B 1.20.1, material ASTM A 105</w:t>
            </w:r>
          </w:p>
        </w:tc>
        <w:tc>
          <w:tcPr>
            <w:tcW w:w="2731" w:type="dxa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</w:pPr>
            <w:r w:rsidRPr="00713BC2"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33E569B2" wp14:editId="0314AF2E">
                  <wp:extent cx="381000" cy="495300"/>
                  <wp:effectExtent l="0" t="0" r="0" b="0"/>
                  <wp:docPr id="8" name="Imagen 8" descr="Descripción: http://www.siars.com.br/_site/img_produtos/siars-38e9b829e9dafb8c67c622d4ddcaa4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http://www.siars.com.br/_site/img_produtos/siars-38e9b829e9dafb8c67c622d4ddcaa4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40" t="7201" r="18839" b="9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EB" w:rsidRPr="00713BC2" w:rsidTr="00C92552">
        <w:trPr>
          <w:trHeight w:val="970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pieza</w:t>
            </w:r>
          </w:p>
        </w:tc>
        <w:tc>
          <w:tcPr>
            <w:tcW w:w="3044" w:type="dxa"/>
            <w:shd w:val="clear" w:color="auto" w:fill="auto"/>
            <w:vAlign w:val="center"/>
          </w:tcPr>
          <w:p w:rsidR="00F514EB" w:rsidRPr="00713BC2" w:rsidRDefault="00713BC2" w:rsidP="00C9255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3BC2">
              <w:rPr>
                <w:rFonts w:asciiTheme="minorHAnsi" w:hAnsiTheme="minorHAnsi"/>
                <w:sz w:val="20"/>
                <w:szCs w:val="20"/>
              </w:rPr>
              <w:t>Threadolet 1” Clase 3000, rosca NPT según la ASME B 1.20.1 de preferencia Full Size, material ASTM A 105</w:t>
            </w:r>
          </w:p>
        </w:tc>
        <w:tc>
          <w:tcPr>
            <w:tcW w:w="2731" w:type="dxa"/>
          </w:tcPr>
          <w:p w:rsidR="00F514EB" w:rsidRPr="00713BC2" w:rsidRDefault="00F514EB" w:rsidP="00C92552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</w:pPr>
            <w:r w:rsidRPr="00713BC2">
              <w:rPr>
                <w:rFonts w:asciiTheme="minorHAnsi" w:hAnsiTheme="minorHAnsi"/>
                <w:noProof/>
                <w:sz w:val="20"/>
                <w:szCs w:val="20"/>
                <w:lang w:val="es-BO" w:eastAsia="es-BO"/>
              </w:rPr>
              <w:drawing>
                <wp:inline distT="0" distB="0" distL="0" distR="0" wp14:anchorId="4B911F33" wp14:editId="1966B6CE">
                  <wp:extent cx="523875" cy="466725"/>
                  <wp:effectExtent l="0" t="0" r="9525" b="9525"/>
                  <wp:docPr id="7" name="Imagen 7" descr="Descripción: http://www.outletfittings.com/images/threado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Descripción: http://www.outletfittings.com/images/threado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17" r="26477" b="8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14EB" w:rsidRPr="00713BC2" w:rsidRDefault="00F514EB" w:rsidP="00F514EB">
      <w:pPr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PROCEDIMIENTO PARA LA EJECUCIÓN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jc w:val="both"/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>El kit de materiales y accesorios deberá contar con documentación que respalde su procedencia (eje. Factura de proveedor, certificado de materiales, etc.).</w:t>
      </w:r>
    </w:p>
    <w:p w:rsidR="00F514EB" w:rsidRPr="00713BC2" w:rsidRDefault="00F514EB" w:rsidP="00F514EB">
      <w:pPr>
        <w:rPr>
          <w:rFonts w:asciiTheme="minorHAnsi" w:hAnsiTheme="minorHAnsi"/>
          <w:sz w:val="20"/>
          <w:szCs w:val="20"/>
        </w:rPr>
      </w:pPr>
    </w:p>
    <w:p w:rsidR="00F514EB" w:rsidRPr="00713BC2" w:rsidRDefault="00F514EB" w:rsidP="00F514EB">
      <w:pPr>
        <w:rPr>
          <w:rFonts w:asciiTheme="minorHAnsi" w:hAnsiTheme="minorHAnsi"/>
          <w:sz w:val="20"/>
          <w:szCs w:val="20"/>
        </w:rPr>
      </w:pPr>
      <w:r w:rsidRPr="00713BC2">
        <w:rPr>
          <w:rFonts w:asciiTheme="minorHAnsi" w:hAnsiTheme="minorHAnsi"/>
          <w:sz w:val="20"/>
          <w:szCs w:val="20"/>
        </w:rPr>
        <w:t xml:space="preserve">Todos los materiales serán provistos por la empresa contratista al inicio de la obra, para evitar retraso de los trabajos debido a la falta de ellos. </w:t>
      </w:r>
    </w:p>
    <w:p w:rsidR="00F514EB" w:rsidRPr="00713BC2" w:rsidRDefault="00F514EB" w:rsidP="00F514EB">
      <w:pPr>
        <w:rPr>
          <w:rFonts w:asciiTheme="minorHAnsi" w:hAnsiTheme="minorHAnsi"/>
          <w:sz w:val="20"/>
          <w:szCs w:val="20"/>
        </w:rPr>
      </w:pPr>
    </w:p>
    <w:p w:rsidR="00F514EB" w:rsidRPr="00713BC2" w:rsidRDefault="00F514EB" w:rsidP="00F514EB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MEDIDAS PARA LA MITIGACION AMBIENTAL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ind w:left="66"/>
        <w:jc w:val="both"/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 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</w:t>
      </w: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F514EB" w:rsidRPr="00713BC2" w:rsidRDefault="00F514EB" w:rsidP="00F514EB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enviará al Ingeniero, a la mayor brevedad posible, información detallada sobre cualquier accidente que ocurra. El Contratista mantendrá un registro y hará informes acerca de la salud, la seguridad y el bienestar de las personas, así como de los daños a la propiedad, según lo solicite razonablemente el Ingeniero.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ind w:left="66"/>
        <w:jc w:val="both"/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pStyle w:val="Prrafodelista"/>
        <w:numPr>
          <w:ilvl w:val="1"/>
          <w:numId w:val="53"/>
        </w:numPr>
        <w:autoSpaceDE w:val="0"/>
        <w:autoSpaceDN w:val="0"/>
        <w:adjustRightInd w:val="0"/>
        <w:spacing w:line="0" w:lineRule="atLeast"/>
        <w:ind w:left="426"/>
        <w:jc w:val="both"/>
        <w:rPr>
          <w:rFonts w:asciiTheme="minorHAnsi" w:hAnsiTheme="minorHAnsi" w:cs="Calibri"/>
          <w:b/>
          <w:sz w:val="20"/>
          <w:szCs w:val="20"/>
        </w:rPr>
      </w:pPr>
      <w:r w:rsidRPr="00713BC2">
        <w:rPr>
          <w:rFonts w:asciiTheme="minorHAnsi" w:hAnsiTheme="minorHAnsi" w:cs="Calibri"/>
          <w:b/>
          <w:sz w:val="20"/>
          <w:szCs w:val="20"/>
        </w:rPr>
        <w:t>MEDICION Y FORMA DE PAGO</w:t>
      </w:r>
    </w:p>
    <w:p w:rsidR="00F514EB" w:rsidRPr="00713BC2" w:rsidRDefault="00F514EB" w:rsidP="00F514EB">
      <w:pPr>
        <w:autoSpaceDE w:val="0"/>
        <w:autoSpaceDN w:val="0"/>
        <w:adjustRightInd w:val="0"/>
        <w:spacing w:line="0" w:lineRule="atLeast"/>
        <w:ind w:left="66"/>
        <w:jc w:val="both"/>
        <w:rPr>
          <w:rFonts w:asciiTheme="minorHAnsi" w:hAnsiTheme="minorHAnsi" w:cs="Calibri"/>
          <w:b/>
          <w:sz w:val="20"/>
          <w:szCs w:val="20"/>
        </w:rPr>
      </w:pPr>
    </w:p>
    <w:p w:rsidR="00F514EB" w:rsidRPr="00713BC2" w:rsidRDefault="00F514EB" w:rsidP="00F514EB">
      <w:pPr>
        <w:pStyle w:val="Estilo1"/>
        <w:spacing w:line="276" w:lineRule="auto"/>
        <w:contextualSpacing/>
        <w:rPr>
          <w:rFonts w:asciiTheme="minorHAnsi" w:hAnsiTheme="minorHAnsi" w:cstheme="minorHAnsi"/>
          <w:b w:val="0"/>
          <w:sz w:val="20"/>
          <w:szCs w:val="20"/>
        </w:rPr>
      </w:pPr>
      <w:r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El ítem de </w:t>
      </w:r>
      <w:r w:rsidR="00713BC2"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>provisión de Kit de materiales</w:t>
      </w:r>
      <w:r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 será medido por </w:t>
      </w:r>
      <w:r w:rsidR="00713BC2" w:rsidRPr="00713BC2">
        <w:rPr>
          <w:rFonts w:asciiTheme="minorHAnsi" w:hAnsiTheme="minorHAnsi" w:cstheme="minorHAnsi"/>
          <w:kern w:val="28"/>
          <w:sz w:val="20"/>
          <w:szCs w:val="20"/>
        </w:rPr>
        <w:t>kit</w:t>
      </w:r>
      <w:r w:rsidRPr="00713BC2">
        <w:rPr>
          <w:rFonts w:asciiTheme="minorHAnsi" w:hAnsiTheme="minorHAnsi" w:cstheme="minorHAnsi"/>
          <w:b w:val="0"/>
          <w:kern w:val="28"/>
          <w:sz w:val="20"/>
          <w:szCs w:val="20"/>
        </w:rPr>
        <w:t>, en concordancia con lo establecido en los requerimientos técnicos, los cuales serán aprobados y reconocidos por el SUPERVISOR DE OBRA. La forma de pago se efectuara de acuerdo al precio unitario de la propuesta aceptada y deberá respaldarse con un registro fotográfico de cada actividad que se realice en el presente ítem.</w:t>
      </w:r>
    </w:p>
    <w:p w:rsidR="00F514EB" w:rsidRPr="004E596C" w:rsidRDefault="00F514EB" w:rsidP="00F514EB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Dicho precio será compensación total por los materiales, mano de obra, herramientas, equipo como otros gastos que sean necesarios para la adecuada y correcta ejecución de los trabajos, esto incluye el costo de provisión de el o los letreros y su respectiva colocación, la construcción o alquiler de depósitos para la </w:t>
      </w:r>
      <w:r w:rsidRPr="00713BC2">
        <w:rPr>
          <w:rFonts w:asciiTheme="minorHAnsi" w:hAnsiTheme="minorHAnsi" w:cstheme="minorHAnsi"/>
          <w:kern w:val="28"/>
          <w:sz w:val="20"/>
          <w:szCs w:val="20"/>
          <w:lang w:val="es-ES_tradnl"/>
        </w:rPr>
        <w:lastRenderedPageBreak/>
        <w:t>instalación de faenas y/o la ocupación de vía. En ningún caso se admitirá letreros que no estén debidamente instalados.</w:t>
      </w:r>
    </w:p>
    <w:p w:rsidR="00F514EB" w:rsidRDefault="00F514EB" w:rsidP="001F59BA">
      <w:pPr>
        <w:autoSpaceDE w:val="0"/>
        <w:autoSpaceDN w:val="0"/>
        <w:adjustRightInd w:val="0"/>
        <w:spacing w:line="0" w:lineRule="atLeast"/>
        <w:ind w:left="66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p w:rsidR="00F514EB" w:rsidRDefault="00F514EB" w:rsidP="001F59BA">
      <w:pPr>
        <w:autoSpaceDE w:val="0"/>
        <w:autoSpaceDN w:val="0"/>
        <w:adjustRightInd w:val="0"/>
        <w:spacing w:line="0" w:lineRule="atLeast"/>
        <w:ind w:left="66"/>
        <w:jc w:val="both"/>
        <w:rPr>
          <w:rFonts w:ascii="Calibri" w:hAnsi="Calibri" w:cs="Calibri"/>
          <w:b/>
          <w:sz w:val="22"/>
          <w:szCs w:val="22"/>
          <w:lang w:val="es-ES_tradnl"/>
        </w:rPr>
      </w:pPr>
    </w:p>
    <w:sectPr w:rsidR="00F514EB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6D0" w:rsidRDefault="001B06D0" w:rsidP="0031499A">
      <w:r>
        <w:separator/>
      </w:r>
    </w:p>
  </w:endnote>
  <w:endnote w:type="continuationSeparator" w:id="0">
    <w:p w:rsidR="001B06D0" w:rsidRDefault="001B06D0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5D5A5F" w:rsidRPr="000810BB" w:rsidTr="0034683E">
      <w:tc>
        <w:tcPr>
          <w:tcW w:w="2942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D5A5F" w:rsidRPr="000810BB" w:rsidTr="0034683E">
      <w:tc>
        <w:tcPr>
          <w:tcW w:w="2942" w:type="dxa"/>
        </w:tcPr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D5A5F" w:rsidRPr="000810BB" w:rsidRDefault="005D5A5F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D5A5F" w:rsidRPr="000810BB" w:rsidTr="0034683E">
      <w:tc>
        <w:tcPr>
          <w:tcW w:w="2942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5D5A5F" w:rsidRPr="000810BB" w:rsidRDefault="005D5A5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</w:t>
          </w:r>
        </w:p>
      </w:tc>
      <w:tc>
        <w:tcPr>
          <w:tcW w:w="2943" w:type="dxa"/>
        </w:tcPr>
        <w:p w:rsidR="005D5A5F" w:rsidRPr="000810BB" w:rsidRDefault="00D935DF" w:rsidP="00D935D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Jefe Unidad Distrital de Op. y Mtto.</w:t>
          </w:r>
        </w:p>
      </w:tc>
    </w:tr>
  </w:tbl>
  <w:p w:rsidR="005D5A5F" w:rsidRDefault="005D5A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6D0" w:rsidRDefault="001B06D0" w:rsidP="0031499A">
      <w:r>
        <w:separator/>
      </w:r>
    </w:p>
  </w:footnote>
  <w:footnote w:type="continuationSeparator" w:id="0">
    <w:p w:rsidR="001B06D0" w:rsidRDefault="001B06D0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5D5A5F" w:rsidRPr="00FA0D94" w:rsidTr="0034683E">
      <w:tc>
        <w:tcPr>
          <w:tcW w:w="1446" w:type="dxa"/>
          <w:vMerge w:val="restart"/>
          <w:vAlign w:val="center"/>
        </w:tcPr>
        <w:p w:rsidR="005D5A5F" w:rsidRPr="00FA0D94" w:rsidRDefault="005D5A5F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D1C290B" wp14:editId="1C5F725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5D5A5F" w:rsidRPr="00AF6F38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F6F3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D5A5F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5D5A5F" w:rsidRPr="0076024C" w:rsidRDefault="005D5A5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D5A5F" w:rsidRPr="00FA0D94" w:rsidTr="0034683E">
      <w:trPr>
        <w:trHeight w:val="478"/>
      </w:trPr>
      <w:tc>
        <w:tcPr>
          <w:tcW w:w="1446" w:type="dxa"/>
          <w:vMerge/>
          <w:vAlign w:val="center"/>
        </w:tcPr>
        <w:p w:rsidR="005D5A5F" w:rsidRPr="00FA0D94" w:rsidRDefault="005D5A5F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D5A5F" w:rsidRPr="0076024C" w:rsidRDefault="005D5A5F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 MECANICAS</w:t>
          </w:r>
        </w:p>
      </w:tc>
      <w:tc>
        <w:tcPr>
          <w:tcW w:w="1276" w:type="dxa"/>
          <w:vAlign w:val="center"/>
        </w:tcPr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D5A5F" w:rsidRPr="0076024C" w:rsidRDefault="005D5A5F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F4D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F4D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5D5A5F" w:rsidRDefault="005D5A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0259F"/>
    <w:multiLevelType w:val="hybridMultilevel"/>
    <w:tmpl w:val="42B68F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A5D61"/>
    <w:multiLevelType w:val="multilevel"/>
    <w:tmpl w:val="52445C5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F59097A"/>
    <w:multiLevelType w:val="multilevel"/>
    <w:tmpl w:val="639838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8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651DB"/>
    <w:multiLevelType w:val="hybridMultilevel"/>
    <w:tmpl w:val="2864D0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BDE57CF"/>
    <w:multiLevelType w:val="multilevel"/>
    <w:tmpl w:val="CF4085F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D976142"/>
    <w:multiLevelType w:val="multilevel"/>
    <w:tmpl w:val="B5F28D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2217EBD"/>
    <w:multiLevelType w:val="multilevel"/>
    <w:tmpl w:val="EB2CAC7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3900F8F"/>
    <w:multiLevelType w:val="multilevel"/>
    <w:tmpl w:val="4176B1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E482C38"/>
    <w:multiLevelType w:val="multilevel"/>
    <w:tmpl w:val="AF4EE4D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38E60C71"/>
    <w:multiLevelType w:val="multilevel"/>
    <w:tmpl w:val="149054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BDA5468"/>
    <w:multiLevelType w:val="multilevel"/>
    <w:tmpl w:val="D2408A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8">
    <w:nsid w:val="52110D43"/>
    <w:multiLevelType w:val="multilevel"/>
    <w:tmpl w:val="E4C4D26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A38713F"/>
    <w:multiLevelType w:val="multilevel"/>
    <w:tmpl w:val="9A02CD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5FF874DE"/>
    <w:multiLevelType w:val="multilevel"/>
    <w:tmpl w:val="71EA7E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62B92EAC"/>
    <w:multiLevelType w:val="multilevel"/>
    <w:tmpl w:val="601C7F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0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3F14875"/>
    <w:multiLevelType w:val="hybridMultilevel"/>
    <w:tmpl w:val="7598C52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EF83150"/>
    <w:multiLevelType w:val="multilevel"/>
    <w:tmpl w:val="A69C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21"/>
  </w:num>
  <w:num w:numId="4">
    <w:abstractNumId w:val="40"/>
  </w:num>
  <w:num w:numId="5">
    <w:abstractNumId w:val="10"/>
  </w:num>
  <w:num w:numId="6">
    <w:abstractNumId w:val="23"/>
  </w:num>
  <w:num w:numId="7">
    <w:abstractNumId w:val="31"/>
  </w:num>
  <w:num w:numId="8">
    <w:abstractNumId w:val="42"/>
  </w:num>
  <w:num w:numId="9">
    <w:abstractNumId w:val="39"/>
  </w:num>
  <w:num w:numId="10">
    <w:abstractNumId w:val="36"/>
  </w:num>
  <w:num w:numId="11">
    <w:abstractNumId w:val="19"/>
  </w:num>
  <w:num w:numId="12">
    <w:abstractNumId w:val="52"/>
  </w:num>
  <w:num w:numId="13">
    <w:abstractNumId w:val="6"/>
  </w:num>
  <w:num w:numId="14">
    <w:abstractNumId w:val="29"/>
  </w:num>
  <w:num w:numId="15">
    <w:abstractNumId w:val="35"/>
  </w:num>
  <w:num w:numId="16">
    <w:abstractNumId w:val="37"/>
  </w:num>
  <w:num w:numId="17">
    <w:abstractNumId w:val="2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4"/>
  </w:num>
  <w:num w:numId="21">
    <w:abstractNumId w:val="34"/>
  </w:num>
  <w:num w:numId="22">
    <w:abstractNumId w:val="1"/>
  </w:num>
  <w:num w:numId="23">
    <w:abstractNumId w:val="48"/>
  </w:num>
  <w:num w:numId="24">
    <w:abstractNumId w:val="46"/>
  </w:num>
  <w:num w:numId="25">
    <w:abstractNumId w:val="25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53"/>
  </w:num>
  <w:num w:numId="29">
    <w:abstractNumId w:val="45"/>
  </w:num>
  <w:num w:numId="30">
    <w:abstractNumId w:val="15"/>
  </w:num>
  <w:num w:numId="31">
    <w:abstractNumId w:val="8"/>
  </w:num>
  <w:num w:numId="32">
    <w:abstractNumId w:val="49"/>
  </w:num>
  <w:num w:numId="33">
    <w:abstractNumId w:val="13"/>
  </w:num>
  <w:num w:numId="34">
    <w:abstractNumId w:val="28"/>
  </w:num>
  <w:num w:numId="35">
    <w:abstractNumId w:val="17"/>
  </w:num>
  <w:num w:numId="36">
    <w:abstractNumId w:val="47"/>
  </w:num>
  <w:num w:numId="37">
    <w:abstractNumId w:val="0"/>
  </w:num>
  <w:num w:numId="38">
    <w:abstractNumId w:val="43"/>
  </w:num>
  <w:num w:numId="39">
    <w:abstractNumId w:val="44"/>
  </w:num>
  <w:num w:numId="40">
    <w:abstractNumId w:val="33"/>
  </w:num>
  <w:num w:numId="41">
    <w:abstractNumId w:val="22"/>
  </w:num>
  <w:num w:numId="42">
    <w:abstractNumId w:val="5"/>
  </w:num>
  <w:num w:numId="43">
    <w:abstractNumId w:val="16"/>
  </w:num>
  <w:num w:numId="44">
    <w:abstractNumId w:val="41"/>
  </w:num>
  <w:num w:numId="45">
    <w:abstractNumId w:val="30"/>
  </w:num>
  <w:num w:numId="46">
    <w:abstractNumId w:val="14"/>
  </w:num>
  <w:num w:numId="47">
    <w:abstractNumId w:val="20"/>
  </w:num>
  <w:num w:numId="48">
    <w:abstractNumId w:val="38"/>
  </w:num>
  <w:num w:numId="49">
    <w:abstractNumId w:val="4"/>
  </w:num>
  <w:num w:numId="50">
    <w:abstractNumId w:val="9"/>
  </w:num>
  <w:num w:numId="51">
    <w:abstractNumId w:val="51"/>
  </w:num>
  <w:num w:numId="52">
    <w:abstractNumId w:val="3"/>
  </w:num>
  <w:num w:numId="53">
    <w:abstractNumId w:val="26"/>
  </w:num>
  <w:num w:numId="54">
    <w:abstractNumId w:val="18"/>
  </w:num>
  <w:num w:numId="55">
    <w:abstractNumId w:val="50"/>
  </w:num>
  <w:num w:numId="56">
    <w:abstractNumId w:val="5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7934"/>
    <w:rsid w:val="00051EE6"/>
    <w:rsid w:val="0005612D"/>
    <w:rsid w:val="00075CD4"/>
    <w:rsid w:val="0009363D"/>
    <w:rsid w:val="001066FD"/>
    <w:rsid w:val="001131E2"/>
    <w:rsid w:val="00154456"/>
    <w:rsid w:val="001B06D0"/>
    <w:rsid w:val="001F59BA"/>
    <w:rsid w:val="0023529D"/>
    <w:rsid w:val="00242CC5"/>
    <w:rsid w:val="002540D4"/>
    <w:rsid w:val="002627C7"/>
    <w:rsid w:val="0031499A"/>
    <w:rsid w:val="00345D64"/>
    <w:rsid w:val="0034683E"/>
    <w:rsid w:val="003B188F"/>
    <w:rsid w:val="004B0B6F"/>
    <w:rsid w:val="004E596C"/>
    <w:rsid w:val="00583BF4"/>
    <w:rsid w:val="005D5A5F"/>
    <w:rsid w:val="00623486"/>
    <w:rsid w:val="006C02E3"/>
    <w:rsid w:val="006D5E32"/>
    <w:rsid w:val="00713561"/>
    <w:rsid w:val="00713BC2"/>
    <w:rsid w:val="00795EDB"/>
    <w:rsid w:val="007F0610"/>
    <w:rsid w:val="00854D52"/>
    <w:rsid w:val="008C3F18"/>
    <w:rsid w:val="008F5B25"/>
    <w:rsid w:val="009A2911"/>
    <w:rsid w:val="009D7E6A"/>
    <w:rsid w:val="00A75AB7"/>
    <w:rsid w:val="00AF6F38"/>
    <w:rsid w:val="00B309D6"/>
    <w:rsid w:val="00B616FD"/>
    <w:rsid w:val="00C579A4"/>
    <w:rsid w:val="00D61EB1"/>
    <w:rsid w:val="00D935DF"/>
    <w:rsid w:val="00DC056E"/>
    <w:rsid w:val="00DF2D97"/>
    <w:rsid w:val="00E301F1"/>
    <w:rsid w:val="00EA3C2C"/>
    <w:rsid w:val="00EB4427"/>
    <w:rsid w:val="00EB6E4C"/>
    <w:rsid w:val="00EF299C"/>
    <w:rsid w:val="00F04AC9"/>
    <w:rsid w:val="00F514EB"/>
    <w:rsid w:val="00F51798"/>
    <w:rsid w:val="00F73257"/>
    <w:rsid w:val="00F7595D"/>
    <w:rsid w:val="00FD6513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2CFB309-CECF-4646-8CAE-8D88362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EB6E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2016-06-30T21:54:00Z</cp:lastPrinted>
  <dcterms:created xsi:type="dcterms:W3CDTF">2016-07-12T22:30:00Z</dcterms:created>
  <dcterms:modified xsi:type="dcterms:W3CDTF">2016-07-12T22:30:00Z</dcterms:modified>
</cp:coreProperties>
</file>