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w:t>
      </w:r>
      <w:r w:rsidR="00532702">
        <w:rPr>
          <w:rFonts w:asciiTheme="minorHAnsi" w:hAnsiTheme="minorHAnsi" w:cstheme="minorHAnsi"/>
          <w:b/>
          <w:color w:val="auto"/>
          <w:sz w:val="20"/>
          <w:szCs w:val="20"/>
        </w:rPr>
        <w:t>SOLDADURA P.E</w:t>
      </w:r>
      <w:r>
        <w:rPr>
          <w:rFonts w:asciiTheme="minorHAnsi" w:hAnsiTheme="minorHAnsi" w:cstheme="minorHAnsi"/>
          <w:b/>
          <w:color w:val="auto"/>
          <w:sz w:val="20"/>
          <w:szCs w:val="20"/>
        </w:rPr>
        <w:t xml:space="preserve"> Ø=40</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w:t>
      </w:r>
      <w:bookmarkStart w:id="0" w:name="_GoBack"/>
      <w:bookmarkEnd w:id="0"/>
      <w:r w:rsidRPr="00ED6E38">
        <w:rPr>
          <w:rFonts w:eastAsia="Arial Unicode MS"/>
          <w:sz w:val="20"/>
          <w:szCs w:val="20"/>
        </w:rPr>
        <w:t>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532702" w:rsidRPr="00ED6E38">
        <w:rPr>
          <w:rFonts w:asciiTheme="minorHAnsi" w:hAnsiTheme="minorHAnsi" w:cstheme="minorHAnsi"/>
          <w:b/>
          <w:color w:val="auto"/>
          <w:sz w:val="20"/>
          <w:szCs w:val="20"/>
        </w:rPr>
        <w:t>SOLDADURA P.E</w:t>
      </w:r>
      <w:r w:rsidR="00E84C5D" w:rsidRPr="00ED6E38">
        <w:rPr>
          <w:rFonts w:asciiTheme="minorHAnsi" w:hAnsiTheme="minorHAnsi" w:cstheme="minorHAnsi"/>
          <w:b/>
          <w:color w:val="auto"/>
          <w:sz w:val="20"/>
          <w:szCs w:val="20"/>
        </w:rPr>
        <w:t>.</w:t>
      </w:r>
      <w:r w:rsidR="008E5593">
        <w:rPr>
          <w:rFonts w:asciiTheme="minorHAnsi" w:hAnsiTheme="minorHAnsi" w:cstheme="minorHAnsi"/>
          <w:b/>
          <w:color w:val="auto"/>
          <w:sz w:val="20"/>
          <w:szCs w:val="20"/>
        </w:rPr>
        <w:t xml:space="preserve"> Ø=63</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E84C5D" w:rsidRPr="00ED6E38" w:rsidRDefault="00E84C5D" w:rsidP="003441E3">
      <w:pPr>
        <w:contextualSpacing/>
        <w:jc w:val="both"/>
        <w:rPr>
          <w:rFonts w:asciiTheme="minorHAnsi" w:hAnsiTheme="minorHAnsi" w:cstheme="minorHAnsi"/>
          <w:kern w:val="28"/>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será pagada por punto debidamente soldado, de acuerdo a los parámetros indicados y aprobados por el SUPERVISOR DE OBRA.</w:t>
      </w:r>
    </w:p>
    <w:p w:rsidR="00E84C5D" w:rsidRPr="00ED6E38" w:rsidRDefault="00E84C5D"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w:t>
      </w:r>
      <w:r w:rsidR="00532702">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3.1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hAnsiTheme="minorHAnsi" w:cstheme="minorHAnsi"/>
          <w:sz w:val="20"/>
          <w:szCs w:val="20"/>
        </w:rPr>
        <w:t>3.</w:t>
      </w:r>
      <w:r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ED6E38" w:rsidRDefault="00ED6E38" w:rsidP="003441E3">
      <w:pPr>
        <w:jc w:val="both"/>
        <w:rPr>
          <w:rFonts w:asciiTheme="minorHAnsi" w:hAnsiTheme="minorHAnsi" w:cstheme="minorHAnsi"/>
          <w:kern w:val="28"/>
          <w:sz w:val="20"/>
          <w:szCs w:val="20"/>
        </w:rPr>
      </w:pPr>
    </w:p>
    <w:p w:rsidR="000571D7" w:rsidRDefault="000571D7" w:rsidP="003441E3">
      <w:pPr>
        <w:jc w:val="both"/>
        <w:rPr>
          <w:rFonts w:asciiTheme="minorHAnsi" w:hAnsiTheme="minorHAnsi" w:cstheme="minorHAnsi"/>
          <w:kern w:val="28"/>
          <w:sz w:val="20"/>
          <w:szCs w:val="20"/>
        </w:rPr>
      </w:pPr>
    </w:p>
    <w:p w:rsidR="000571D7" w:rsidRDefault="000571D7" w:rsidP="003441E3">
      <w:pPr>
        <w:jc w:val="both"/>
        <w:rPr>
          <w:rFonts w:asciiTheme="minorHAnsi" w:hAnsiTheme="minorHAnsi" w:cstheme="minorHAnsi"/>
          <w:kern w:val="28"/>
          <w:sz w:val="20"/>
          <w:szCs w:val="20"/>
        </w:rPr>
      </w:pPr>
    </w:p>
    <w:p w:rsidR="00ED6E38" w:rsidRDefault="00ED6E38" w:rsidP="003441E3">
      <w:pPr>
        <w:jc w:val="both"/>
        <w:rPr>
          <w:rFonts w:asciiTheme="minorHAnsi" w:hAnsiTheme="minorHAnsi" w:cstheme="minorHAnsi"/>
          <w:kern w:val="28"/>
          <w:sz w:val="20"/>
          <w:szCs w:val="20"/>
        </w:rPr>
      </w:pPr>
    </w:p>
    <w:p w:rsidR="00ED6E38" w:rsidRPr="00ED6E38" w:rsidRDefault="00ED6E38"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 xml:space="preserve">O DE </w:t>
      </w:r>
      <w:r w:rsidR="00532702">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110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DE OBRA.  </w:t>
      </w:r>
    </w:p>
    <w:p w:rsidR="00ED6E38" w:rsidRPr="00ED6E38" w:rsidRDefault="00ED6E38" w:rsidP="00ED6E38">
      <w:pPr>
        <w:jc w:val="both"/>
        <w:rPr>
          <w:rFonts w:asciiTheme="minorHAnsi" w:hAnsiTheme="minorHAnsi" w:cstheme="minorHAnsi"/>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Default="002E5C53" w:rsidP="003441E3">
      <w:pPr>
        <w:pStyle w:val="Estilo1"/>
        <w:numPr>
          <w:ilvl w:val="1"/>
          <w:numId w:val="75"/>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sz w:val="20"/>
          <w:szCs w:val="20"/>
        </w:rPr>
      </w:pPr>
    </w:p>
    <w:p w:rsidR="002E5C53" w:rsidRPr="000571D7"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D05B0B">
      <w:pPr>
        <w:pStyle w:val="Prrafodelista"/>
        <w:numPr>
          <w:ilvl w:val="0"/>
          <w:numId w:val="77"/>
        </w:numPr>
        <w:jc w:val="both"/>
        <w:rPr>
          <w:rFonts w:asciiTheme="minorHAnsi" w:eastAsia="Arial Unicode MS" w:hAnsiTheme="minorHAnsi" w:cstheme="minorHAnsi"/>
          <w:b/>
          <w:vanish/>
          <w:sz w:val="20"/>
          <w:szCs w:val="20"/>
          <w:lang w:val="es-ES_tradnl"/>
        </w:rPr>
      </w:pPr>
    </w:p>
    <w:p w:rsidR="00D05B0B" w:rsidRPr="00D05B0B" w:rsidRDefault="00D05B0B" w:rsidP="00D05B0B">
      <w:pPr>
        <w:pStyle w:val="Prrafodelista"/>
        <w:numPr>
          <w:ilvl w:val="0"/>
          <w:numId w:val="77"/>
        </w:numPr>
        <w:jc w:val="both"/>
        <w:rPr>
          <w:rFonts w:asciiTheme="minorHAnsi" w:eastAsia="Arial Unicode MS" w:hAnsiTheme="minorHAnsi" w:cstheme="minorHAnsi"/>
          <w:b/>
          <w:vanish/>
          <w:sz w:val="20"/>
          <w:szCs w:val="20"/>
          <w:lang w:val="es-ES_tradnl"/>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D05B0B" w:rsidRDefault="00D05B0B" w:rsidP="003441E3">
      <w:pPr>
        <w:pStyle w:val="Sangra2detindependiente"/>
        <w:spacing w:after="0" w:line="240" w:lineRule="auto"/>
        <w:ind w:left="0"/>
        <w:jc w:val="both"/>
        <w:rPr>
          <w:rFonts w:eastAsia="Times New Roman" w:cstheme="minorHAnsi"/>
          <w:sz w:val="20"/>
          <w:szCs w:val="20"/>
        </w:rPr>
      </w:pPr>
    </w:p>
    <w:p w:rsidR="00D05B0B" w:rsidRDefault="00D05B0B" w:rsidP="003441E3">
      <w:pPr>
        <w:pStyle w:val="Sangra2detindependiente"/>
        <w:spacing w:after="0" w:line="240" w:lineRule="auto"/>
        <w:ind w:left="0"/>
        <w:jc w:val="both"/>
        <w:rPr>
          <w:rFonts w:eastAsia="Times New Roman" w:cstheme="minorHAnsi"/>
          <w:sz w:val="20"/>
          <w:szCs w:val="20"/>
        </w:rPr>
      </w:pPr>
    </w:p>
    <w:p w:rsidR="00D05B0B" w:rsidRPr="00ED6E38" w:rsidRDefault="00D05B0B" w:rsidP="003441E3">
      <w:pPr>
        <w:pStyle w:val="Sangra2detindependiente"/>
        <w:spacing w:after="0" w:line="240" w:lineRule="auto"/>
        <w:ind w:left="0"/>
        <w:jc w:val="both"/>
        <w:rPr>
          <w:rFonts w:eastAsia="Times New Roman"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lastRenderedPageBreak/>
        <w:t>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w:t>
      </w:r>
      <w:r w:rsidR="00532702" w:rsidRPr="00ED6E38">
        <w:rPr>
          <w:rFonts w:asciiTheme="minorHAnsi" w:hAnsiTheme="minorHAnsi" w:cstheme="minorHAnsi"/>
          <w:sz w:val="20"/>
          <w:szCs w:val="20"/>
        </w:rPr>
        <w:t>al Manual</w:t>
      </w:r>
      <w:r w:rsidRPr="00ED6E38">
        <w:rPr>
          <w:rFonts w:asciiTheme="minorHAnsi" w:hAnsiTheme="minorHAnsi" w:cstheme="minorHAnsi"/>
          <w:b/>
          <w:sz w:val="20"/>
          <w:szCs w:val="20"/>
        </w:rPr>
        <w:t xml:space="preserve"> de Venteo</w:t>
      </w:r>
      <w:r w:rsidR="00532702" w:rsidRPr="00ED6E38">
        <w:rPr>
          <w:rFonts w:asciiTheme="minorHAnsi" w:hAnsiTheme="minorHAnsi" w:cstheme="minorHAnsi"/>
          <w:b/>
          <w:sz w:val="20"/>
          <w:szCs w:val="20"/>
        </w:rPr>
        <w:t>, resistencia</w:t>
      </w:r>
      <w:r w:rsidRPr="00ED6E38">
        <w:rPr>
          <w:rFonts w:asciiTheme="minorHAnsi" w:hAnsiTheme="minorHAnsi" w:cstheme="minorHAnsi"/>
          <w:b/>
          <w:sz w:val="20"/>
          <w:szCs w:val="20"/>
        </w:rPr>
        <w:t xml:space="preserve">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2E5C53" w:rsidP="00D05B0B">
      <w:pPr>
        <w:pStyle w:val="Estilo1"/>
        <w:numPr>
          <w:ilvl w:val="1"/>
          <w:numId w:val="77"/>
        </w:numPr>
        <w:rPr>
          <w:rFonts w:asciiTheme="minorHAnsi" w:hAnsiTheme="minorHAnsi" w:cstheme="minorHAnsi"/>
          <w:sz w:val="20"/>
          <w:szCs w:val="20"/>
        </w:rPr>
      </w:pPr>
      <w:r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A7F" w:rsidRDefault="00003A7F" w:rsidP="0031499A">
      <w:r>
        <w:separator/>
      </w:r>
    </w:p>
  </w:endnote>
  <w:endnote w:type="continuationSeparator" w:id="0">
    <w:p w:rsidR="00003A7F" w:rsidRDefault="00003A7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6B433B">
          <w:pPr>
            <w:pStyle w:val="Piedepgina"/>
            <w:rPr>
              <w:rFonts w:ascii="Calibri" w:hAnsi="Calibri"/>
              <w:sz w:val="16"/>
              <w:szCs w:val="20"/>
            </w:rPr>
          </w:pPr>
          <w:r w:rsidRPr="000810BB">
            <w:rPr>
              <w:rFonts w:ascii="Calibri" w:hAnsi="Calibri"/>
              <w:sz w:val="16"/>
              <w:szCs w:val="20"/>
            </w:rPr>
            <w:t>Re</w:t>
          </w:r>
          <w:r w:rsidR="006B433B">
            <w:rPr>
              <w:rFonts w:ascii="Calibri" w:hAnsi="Calibri"/>
              <w:sz w:val="16"/>
              <w:szCs w:val="20"/>
            </w:rPr>
            <w:t>visa</w:t>
          </w:r>
          <w:r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A7F" w:rsidRDefault="00003A7F" w:rsidP="0031499A">
      <w:r>
        <w:separator/>
      </w:r>
    </w:p>
  </w:footnote>
  <w:footnote w:type="continuationSeparator" w:id="0">
    <w:p w:rsidR="00003A7F" w:rsidRDefault="00003A7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32702">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32702">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9">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1">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2">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7">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9">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0">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2">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9">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1">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5">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6">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2"/>
  </w:num>
  <w:num w:numId="4">
    <w:abstractNumId w:val="53"/>
  </w:num>
  <w:num w:numId="5">
    <w:abstractNumId w:val="11"/>
  </w:num>
  <w:num w:numId="6">
    <w:abstractNumId w:val="26"/>
  </w:num>
  <w:num w:numId="7">
    <w:abstractNumId w:val="37"/>
  </w:num>
  <w:num w:numId="8">
    <w:abstractNumId w:val="56"/>
  </w:num>
  <w:num w:numId="9">
    <w:abstractNumId w:val="50"/>
  </w:num>
  <w:num w:numId="10">
    <w:abstractNumId w:val="44"/>
  </w:num>
  <w:num w:numId="11">
    <w:abstractNumId w:val="19"/>
  </w:num>
  <w:num w:numId="12">
    <w:abstractNumId w:val="70"/>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num>
  <w:num w:numId="21">
    <w:abstractNumId w:val="39"/>
  </w:num>
  <w:num w:numId="22">
    <w:abstractNumId w:val="1"/>
  </w:num>
  <w:num w:numId="23">
    <w:abstractNumId w:val="67"/>
  </w:num>
  <w:num w:numId="24">
    <w:abstractNumId w:val="62"/>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4"/>
  </w:num>
  <w:num w:numId="29">
    <w:abstractNumId w:val="61"/>
  </w:num>
  <w:num w:numId="30">
    <w:abstractNumId w:val="16"/>
  </w:num>
  <w:num w:numId="31">
    <w:abstractNumId w:val="59"/>
  </w:num>
  <w:num w:numId="32">
    <w:abstractNumId w:val="58"/>
  </w:num>
  <w:num w:numId="33">
    <w:abstractNumId w:val="9"/>
  </w:num>
  <w:num w:numId="34">
    <w:abstractNumId w:val="68"/>
  </w:num>
  <w:num w:numId="35">
    <w:abstractNumId w:val="15"/>
  </w:num>
  <w:num w:numId="36">
    <w:abstractNumId w:val="33"/>
  </w:num>
  <w:num w:numId="37">
    <w:abstractNumId w:val="57"/>
  </w:num>
  <w:num w:numId="38">
    <w:abstractNumId w:val="64"/>
  </w:num>
  <w:num w:numId="39">
    <w:abstractNumId w:val="23"/>
  </w:num>
  <w:num w:numId="40">
    <w:abstractNumId w:val="25"/>
  </w:num>
  <w:num w:numId="41">
    <w:abstractNumId w:val="52"/>
  </w:num>
  <w:num w:numId="42">
    <w:abstractNumId w:val="8"/>
  </w:num>
  <w:num w:numId="43">
    <w:abstractNumId w:val="24"/>
  </w:num>
  <w:num w:numId="44">
    <w:abstractNumId w:val="32"/>
  </w:num>
  <w:num w:numId="45">
    <w:abstractNumId w:val="48"/>
  </w:num>
  <w:num w:numId="46">
    <w:abstractNumId w:val="10"/>
  </w:num>
  <w:num w:numId="47">
    <w:abstractNumId w:val="54"/>
  </w:num>
  <w:num w:numId="48">
    <w:abstractNumId w:val="17"/>
  </w:num>
  <w:num w:numId="49">
    <w:abstractNumId w:val="66"/>
  </w:num>
  <w:num w:numId="50">
    <w:abstractNumId w:val="20"/>
  </w:num>
  <w:num w:numId="51">
    <w:abstractNumId w:val="28"/>
  </w:num>
  <w:num w:numId="52">
    <w:abstractNumId w:val="42"/>
  </w:num>
  <w:num w:numId="53">
    <w:abstractNumId w:val="76"/>
  </w:num>
  <w:num w:numId="54">
    <w:abstractNumId w:val="2"/>
  </w:num>
  <w:num w:numId="55">
    <w:abstractNumId w:val="30"/>
  </w:num>
  <w:num w:numId="56">
    <w:abstractNumId w:val="72"/>
  </w:num>
  <w:num w:numId="57">
    <w:abstractNumId w:val="12"/>
  </w:num>
  <w:num w:numId="58">
    <w:abstractNumId w:val="65"/>
  </w:num>
  <w:num w:numId="59">
    <w:abstractNumId w:val="43"/>
  </w:num>
  <w:num w:numId="60">
    <w:abstractNumId w:val="46"/>
  </w:num>
  <w:num w:numId="61">
    <w:abstractNumId w:val="4"/>
  </w:num>
  <w:num w:numId="62">
    <w:abstractNumId w:val="69"/>
  </w:num>
  <w:num w:numId="63">
    <w:abstractNumId w:val="0"/>
  </w:num>
  <w:num w:numId="64">
    <w:abstractNumId w:val="51"/>
  </w:num>
  <w:num w:numId="65">
    <w:abstractNumId w:val="63"/>
  </w:num>
  <w:num w:numId="66">
    <w:abstractNumId w:val="36"/>
  </w:num>
  <w:num w:numId="67">
    <w:abstractNumId w:val="47"/>
  </w:num>
  <w:num w:numId="68">
    <w:abstractNumId w:val="60"/>
  </w:num>
  <w:num w:numId="69">
    <w:abstractNumId w:val="18"/>
  </w:num>
  <w:num w:numId="70">
    <w:abstractNumId w:val="6"/>
  </w:num>
  <w:num w:numId="71">
    <w:abstractNumId w:val="71"/>
  </w:num>
  <w:num w:numId="72">
    <w:abstractNumId w:val="40"/>
  </w:num>
  <w:num w:numId="73">
    <w:abstractNumId w:val="49"/>
  </w:num>
  <w:num w:numId="74">
    <w:abstractNumId w:val="55"/>
  </w:num>
  <w:num w:numId="75">
    <w:abstractNumId w:val="73"/>
  </w:num>
  <w:num w:numId="76">
    <w:abstractNumId w:val="34"/>
  </w:num>
  <w:num w:numId="77">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A7F"/>
    <w:rsid w:val="000571D7"/>
    <w:rsid w:val="000F0268"/>
    <w:rsid w:val="001131E2"/>
    <w:rsid w:val="002E5C53"/>
    <w:rsid w:val="0031499A"/>
    <w:rsid w:val="003441E3"/>
    <w:rsid w:val="003B188F"/>
    <w:rsid w:val="00532702"/>
    <w:rsid w:val="0063393A"/>
    <w:rsid w:val="006B433B"/>
    <w:rsid w:val="006D0B5E"/>
    <w:rsid w:val="006D5E32"/>
    <w:rsid w:val="006F51B7"/>
    <w:rsid w:val="008E5593"/>
    <w:rsid w:val="00A00EA7"/>
    <w:rsid w:val="00BD0EEE"/>
    <w:rsid w:val="00C30453"/>
    <w:rsid w:val="00CC5D03"/>
    <w:rsid w:val="00D05B0B"/>
    <w:rsid w:val="00D37285"/>
    <w:rsid w:val="00E84C5D"/>
    <w:rsid w:val="00ED6E38"/>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3344</Words>
  <Characters>18397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9</cp:revision>
  <cp:lastPrinted>2016-07-29T21:49:00Z</cp:lastPrinted>
  <dcterms:created xsi:type="dcterms:W3CDTF">2016-03-07T18:11:00Z</dcterms:created>
  <dcterms:modified xsi:type="dcterms:W3CDTF">2016-08-11T22:24:00Z</dcterms:modified>
</cp:coreProperties>
</file>