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29" w:rsidRDefault="00232B29" w:rsidP="00232B29">
      <w:pPr>
        <w:pStyle w:val="Prrafodelista"/>
        <w:ind w:left="0"/>
        <w:contextualSpacing/>
        <w:jc w:val="center"/>
        <w:rPr>
          <w:rFonts w:ascii="Lucida Bright" w:hAnsi="Lucida Bright" w:cs="Calibri"/>
          <w:b/>
          <w:bCs/>
          <w:sz w:val="20"/>
          <w:szCs w:val="20"/>
          <w:lang w:eastAsia="es-BO"/>
        </w:rPr>
      </w:pPr>
      <w:r w:rsidRPr="00232B29">
        <w:rPr>
          <w:rFonts w:ascii="Lucida Bright" w:hAnsi="Lucida Bright" w:cs="Calibri"/>
          <w:b/>
          <w:bCs/>
          <w:sz w:val="20"/>
          <w:szCs w:val="20"/>
          <w:u w:val="single"/>
          <w:lang w:eastAsia="es-BO"/>
        </w:rPr>
        <w:t xml:space="preserve">ANEXOS </w:t>
      </w:r>
      <w:r w:rsidR="00E32DCE">
        <w:rPr>
          <w:rFonts w:ascii="Lucida Bright" w:hAnsi="Lucida Bright" w:cs="Calibri"/>
          <w:b/>
          <w:bCs/>
          <w:sz w:val="20"/>
          <w:szCs w:val="20"/>
          <w:u w:val="single"/>
          <w:lang w:eastAsia="es-BO"/>
        </w:rPr>
        <w:t xml:space="preserve">Nº 1 </w:t>
      </w:r>
    </w:p>
    <w:p w:rsidR="00232B29" w:rsidRDefault="00232B29" w:rsidP="00232B29">
      <w:pPr>
        <w:pStyle w:val="Prrafodelista"/>
        <w:ind w:left="0"/>
        <w:contextualSpacing/>
        <w:jc w:val="both"/>
        <w:rPr>
          <w:rFonts w:ascii="Lucida Bright" w:hAnsi="Lucida Bright" w:cs="Calibri"/>
          <w:b/>
          <w:bCs/>
          <w:sz w:val="20"/>
          <w:szCs w:val="20"/>
          <w:lang w:eastAsia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32B29" w:rsidRPr="00644C5C" w:rsidTr="00F23A7C">
        <w:tc>
          <w:tcPr>
            <w:tcW w:w="9325" w:type="dxa"/>
            <w:shd w:val="clear" w:color="auto" w:fill="9CC2E5"/>
          </w:tcPr>
          <w:p w:rsidR="00232B29" w:rsidRPr="00644C5C" w:rsidRDefault="00232B29" w:rsidP="00F23A7C">
            <w:pPr>
              <w:rPr>
                <w:rFonts w:ascii="Lucida Bright" w:hAnsi="Lucida Bright" w:cs="Calibri"/>
                <w:b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b/>
                <w:sz w:val="20"/>
                <w:szCs w:val="20"/>
              </w:rPr>
              <w:t>GARANTIAS FINANCIERAS</w:t>
            </w:r>
          </w:p>
        </w:tc>
      </w:tr>
      <w:tr w:rsidR="00232B29" w:rsidRPr="00644C5C" w:rsidTr="00F23A7C">
        <w:tc>
          <w:tcPr>
            <w:tcW w:w="9325" w:type="dxa"/>
            <w:shd w:val="clear" w:color="auto" w:fill="auto"/>
          </w:tcPr>
          <w:p w:rsidR="00232B29" w:rsidRPr="00232B29" w:rsidRDefault="00232B29" w:rsidP="00F23A7C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232B29">
              <w:rPr>
                <w:rFonts w:ascii="Lucida Bright" w:hAnsi="Lucida Bright" w:cs="Calibri"/>
                <w:sz w:val="20"/>
                <w:szCs w:val="20"/>
              </w:rPr>
              <w:t>A elección de la empresa (proponente o adjudicada según corresponda) esta podrá optar por uno de los siguientes instrumentos financieros:</w:t>
            </w:r>
          </w:p>
          <w:p w:rsidR="00232B29" w:rsidRPr="00232B29" w:rsidRDefault="00232B29" w:rsidP="00F23A7C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</w:pPr>
            <w:r w:rsidRPr="00232B29"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  <w:t>GARANTIA DE SERIEDAD DE PROPUESTA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b/>
                <w:sz w:val="20"/>
                <w:szCs w:val="20"/>
              </w:rPr>
              <w:t>Boleta de Garantía,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emitida por una Entidad Bancaria del Estado Plurinacional de Bolivia, registrada, autorizada y bajo el control de la Autoridad de Supervisión del Sistema Financiero-ASFI, a la orden/a favor de Yacimientos Petrolíferos Fiscales Bolivianos, con características expresas de renovable, irrevocable y de ejecución i</w:t>
            </w:r>
            <w:r>
              <w:rPr>
                <w:rFonts w:ascii="Lucida Bright" w:hAnsi="Lucida Bright" w:cs="Calibri"/>
                <w:sz w:val="20"/>
                <w:szCs w:val="20"/>
              </w:rPr>
              <w:t>nmediata con vigencia de (1) días por un importe equivalente al 2% del valor total de la propuesta Económica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.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>
              <w:rPr>
                <w:rFonts w:ascii="Lucida Bright" w:hAnsi="Lucida Bright" w:cs="Calibri"/>
                <w:b/>
                <w:sz w:val="20"/>
                <w:szCs w:val="20"/>
              </w:rPr>
              <w:t xml:space="preserve">Garantía de Primer requerimiento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emitida por una Entidad Bancaria del Estado Plurinacional de Bolivia, registrada, autorizada y bajo el control de la Autoridad de Supervisión del Sistema Financiero-ASFI,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con características expresas de renovable, irrevocable y de ejecución i</w:t>
            </w:r>
            <w:r>
              <w:rPr>
                <w:rFonts w:ascii="Lucida Bright" w:hAnsi="Lucida Bright" w:cs="Calibri"/>
                <w:sz w:val="20"/>
                <w:szCs w:val="20"/>
              </w:rPr>
              <w:t>nmediata con vigencia de (1) días por un importe equivalente al 2% del valor total de la propuesta Económica.</w:t>
            </w:r>
          </w:p>
          <w:p w:rsidR="00232B29" w:rsidRP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B4200">
              <w:rPr>
                <w:rFonts w:ascii="Lucida Bright" w:hAnsi="Lucida Bright" w:cs="Calibri"/>
                <w:b/>
                <w:sz w:val="20"/>
                <w:szCs w:val="20"/>
              </w:rPr>
              <w:t>Póliza de caución a primer requerimiento</w:t>
            </w:r>
            <w:r w:rsidRPr="006B4200">
              <w:rPr>
                <w:rFonts w:ascii="Lucida Bright" w:hAnsi="Lucida Bright" w:cs="Calibri"/>
                <w:sz w:val="20"/>
                <w:szCs w:val="20"/>
              </w:rPr>
              <w:t xml:space="preserve"> para entidades públicas emitida por una empresa aseguradora del estado Plurinacional 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de Bolivia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registrada, autorizada y ba</w:t>
            </w:r>
            <w:r>
              <w:rPr>
                <w:rFonts w:ascii="Lucida Bright" w:hAnsi="Lucida Bright" w:cs="Calibri"/>
                <w:sz w:val="20"/>
                <w:szCs w:val="20"/>
              </w:rPr>
              <w:t>jo el control de la Autoridad de Fiscalización y Control de Pensiones y Seguros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con características expresas de renovable, irrevocable y de ejecución i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nmediata con vigencia de (1) días a contar de la fecha prevista  para la presentación de propuestas y por un importe equivalente de al menos 2% del valor total de la propuesta Económica </w:t>
            </w:r>
            <w:r w:rsidRPr="00232B29"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</w:p>
          <w:p w:rsidR="00232B29" w:rsidRPr="00232B29" w:rsidRDefault="00232B29" w:rsidP="00232B29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232B29">
              <w:rPr>
                <w:rFonts w:ascii="Lucida Bright" w:hAnsi="Lucida Bright" w:cs="Calibri"/>
                <w:sz w:val="20"/>
                <w:szCs w:val="20"/>
              </w:rPr>
              <w:t>A elección de la empresa (proponente o adjudicada según corresponda) esta podrá optar por uno de los siguientes instrumentos financieros:</w:t>
            </w:r>
          </w:p>
          <w:p w:rsidR="00232B29" w:rsidRPr="00232B29" w:rsidRDefault="00232B29" w:rsidP="00F23A7C">
            <w:pPr>
              <w:pStyle w:val="Prrafodelista"/>
              <w:spacing w:after="120"/>
              <w:ind w:left="0"/>
              <w:jc w:val="both"/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</w:pPr>
            <w:r w:rsidRPr="00232B29"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  <w:t>GARANTIA DE CUMPLIMIENTO DE CONTRATO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b/>
                <w:sz w:val="20"/>
                <w:szCs w:val="20"/>
              </w:rPr>
              <w:t>Boleta de Garantía,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emitida por una Entidad Bancaria del Estado Plurinacional de Bolivia, registrada, autorizada y bajo el control de la Autoridad de Supervisión del Sistema Financiero-ASFI, a la orden/a favor de Yacimientos Petrolíferos Fiscales Bolivianos, con características expresas de renovable, irrevocable y de ejecución inmed</w:t>
            </w:r>
            <w:r>
              <w:rPr>
                <w:rFonts w:ascii="Lucida Bright" w:hAnsi="Lucida Bright" w:cs="Calibri"/>
                <w:sz w:val="20"/>
                <w:szCs w:val="20"/>
              </w:rPr>
              <w:t>iata con vigencia de (4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) días calendario adicionales a la vigencia del contrato, por un importe equivalente al 7% del valor total del contrato.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>
              <w:rPr>
                <w:rFonts w:ascii="Lucida Bright" w:hAnsi="Lucida Bright" w:cs="Calibri"/>
                <w:b/>
                <w:sz w:val="20"/>
                <w:szCs w:val="20"/>
              </w:rPr>
              <w:t xml:space="preserve">Garantía de Primer requerimiento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emitida por una Entidad Bancaria del Estado Plurinacional de Bolivia, registrada, autorizada y bajo el control de la Autoridad de Supervisión del Sistema Financiero-ASFI,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con características expresas de renovable, irrevocable y de ejecución i</w:t>
            </w:r>
            <w:r>
              <w:rPr>
                <w:rFonts w:ascii="Lucida Bright" w:hAnsi="Lucida Bright" w:cs="Calibri"/>
                <w:sz w:val="20"/>
                <w:szCs w:val="20"/>
              </w:rPr>
              <w:t>nmediata con vigencia de (4) días por un importe equivalente al 7% del valor total del contrato.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B4200">
              <w:rPr>
                <w:rFonts w:ascii="Lucida Bright" w:hAnsi="Lucida Bright" w:cs="Calibri"/>
                <w:b/>
                <w:sz w:val="20"/>
                <w:szCs w:val="20"/>
              </w:rPr>
              <w:t>Póliza de caución a primer requerimiento</w:t>
            </w:r>
            <w:r w:rsidRPr="006B4200">
              <w:rPr>
                <w:rFonts w:ascii="Lucida Bright" w:hAnsi="Lucida Bright" w:cs="Calibri"/>
                <w:sz w:val="20"/>
                <w:szCs w:val="20"/>
              </w:rPr>
              <w:t xml:space="preserve"> para entidades públicas emitida por una empresa aseguradora del estado Plurinacional 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de Bolivia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registrada, autorizada y bajo el control de la Autoridad </w:t>
            </w:r>
            <w:r>
              <w:rPr>
                <w:rFonts w:ascii="Lucida Bright" w:hAnsi="Lucida Bright" w:cs="Calibri"/>
                <w:sz w:val="20"/>
                <w:szCs w:val="20"/>
              </w:rPr>
              <w:t>de Fiscalización y Control de Pensiones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con características expresas de renovable, irrevocable y de ejecución i</w:t>
            </w:r>
            <w:r>
              <w:rPr>
                <w:rFonts w:ascii="Lucida Bright" w:hAnsi="Lucida Bright" w:cs="Calibri"/>
                <w:sz w:val="20"/>
                <w:szCs w:val="20"/>
              </w:rPr>
              <w:t>nmediata con vigencia de (4) días a contar de la fecha prevista  para la presentación de propuestas y por un importe equivalente de al menos 7% del valor total del contrato.</w:t>
            </w:r>
          </w:p>
          <w:p w:rsidR="00232B29" w:rsidRDefault="00232B29" w:rsidP="00232B29">
            <w:p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</w:p>
          <w:p w:rsidR="00E32DCE" w:rsidRDefault="00E32DCE" w:rsidP="00232B29">
            <w:p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bookmarkStart w:id="0" w:name="_GoBack"/>
            <w:bookmarkEnd w:id="0"/>
          </w:p>
          <w:p w:rsidR="00232B29" w:rsidRPr="00232B29" w:rsidRDefault="00232B29" w:rsidP="00232B29">
            <w:p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</w:p>
        </w:tc>
      </w:tr>
      <w:tr w:rsidR="00232B29" w:rsidRPr="00644C5C" w:rsidTr="00F23A7C">
        <w:tc>
          <w:tcPr>
            <w:tcW w:w="9325" w:type="dxa"/>
            <w:shd w:val="clear" w:color="auto" w:fill="9CC2E5"/>
          </w:tcPr>
          <w:p w:rsidR="00232B29" w:rsidRPr="00644C5C" w:rsidRDefault="00232B29" w:rsidP="00F23A7C">
            <w:pPr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b/>
                <w:bCs/>
                <w:sz w:val="20"/>
                <w:szCs w:val="20"/>
              </w:rPr>
              <w:lastRenderedPageBreak/>
              <w:t>GARANTIA DE CORRECTA INVERSION DE ANTICIPO.</w:t>
            </w:r>
          </w:p>
        </w:tc>
      </w:tr>
      <w:tr w:rsidR="00232B29" w:rsidRPr="00644C5C" w:rsidTr="00F23A7C">
        <w:tc>
          <w:tcPr>
            <w:tcW w:w="9325" w:type="dxa"/>
            <w:shd w:val="clear" w:color="auto" w:fill="auto"/>
          </w:tcPr>
          <w:p w:rsidR="00232B29" w:rsidRDefault="00232B29" w:rsidP="00232B29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sz w:val="20"/>
                <w:szCs w:val="20"/>
              </w:rPr>
            </w:pPr>
          </w:p>
          <w:p w:rsidR="00232B29" w:rsidRDefault="00232B29" w:rsidP="00F23A7C">
            <w:pPr>
              <w:spacing w:before="100" w:beforeAutospacing="1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En caso de que la empresa adjudicada solicite la entrega de Anticipo, éste podrá ser otorgado hasta un máximo del 20% del importe del </w:t>
            </w:r>
            <w:r>
              <w:rPr>
                <w:rFonts w:ascii="Lucida Bright" w:hAnsi="Lucida Bright" w:cs="Calibri"/>
                <w:sz w:val="20"/>
                <w:szCs w:val="20"/>
              </w:rPr>
              <w:t>contrato, debiendo presentar a</w:t>
            </w:r>
            <w:r w:rsidRPr="00232B29">
              <w:rPr>
                <w:rFonts w:ascii="Lucida Bright" w:hAnsi="Lucida Bright" w:cs="Calibri"/>
                <w:sz w:val="20"/>
                <w:szCs w:val="20"/>
              </w:rPr>
              <w:t xml:space="preserve"> elección de la empresa (proponente o adjudicada según corresponda) esta podrá optar por uno de los siguientes instrumentos financieros:</w:t>
            </w:r>
          </w:p>
          <w:p w:rsidR="00232B29" w:rsidRDefault="00232B29" w:rsidP="00232B29">
            <w:pPr>
              <w:numPr>
                <w:ilvl w:val="0"/>
                <w:numId w:val="2"/>
              </w:numPr>
              <w:spacing w:before="100" w:beforeAutospacing="1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CB53AE">
              <w:rPr>
                <w:rFonts w:ascii="Lucida Bright" w:hAnsi="Lucida Bright" w:cs="Calibri"/>
                <w:b/>
                <w:sz w:val="20"/>
                <w:szCs w:val="20"/>
              </w:rPr>
              <w:t>Boleta de Garantía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emitida por una entidad bancaria del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Estado Plurinacional de Bolivia, registrada, autorizada y bajo el control de la Autoridad de Supervisión del Sistema Financiero-ASFI, a la orden/a favor de Yacimientos Petrolíferos Fiscales Bolivianos, con características expresas de renovable, irrevocable y de ejecución inmed</w:t>
            </w:r>
            <w:r>
              <w:rPr>
                <w:rFonts w:ascii="Lucida Bright" w:hAnsi="Lucida Bright" w:cs="Calibri"/>
                <w:sz w:val="20"/>
                <w:szCs w:val="20"/>
              </w:rPr>
              <w:t>iata con vigencia será de (3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) días </w:t>
            </w:r>
            <w:r>
              <w:rPr>
                <w:rFonts w:ascii="Lucida Bright" w:hAnsi="Lucida Bright" w:cs="Calibri"/>
                <w:sz w:val="20"/>
                <w:szCs w:val="20"/>
              </w:rPr>
              <w:t>por un importe equivalente al 100% del monto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del </w:t>
            </w:r>
            <w:r>
              <w:rPr>
                <w:rFonts w:ascii="Lucida Bright" w:hAnsi="Lucida Bright" w:cs="Calibri"/>
                <w:sz w:val="20"/>
                <w:szCs w:val="20"/>
              </w:rPr>
              <w:t>anticipo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.</w:t>
            </w:r>
          </w:p>
          <w:p w:rsidR="00232B29" w:rsidRPr="00CB53AE" w:rsidRDefault="00232B29" w:rsidP="00232B29">
            <w:pPr>
              <w:numPr>
                <w:ilvl w:val="0"/>
                <w:numId w:val="2"/>
              </w:numPr>
              <w:spacing w:before="100" w:beforeAutospacing="1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CB53AE">
              <w:rPr>
                <w:rFonts w:ascii="Lucida Bright" w:hAnsi="Lucida Bright" w:cs="Calibri"/>
                <w:b/>
                <w:sz w:val="20"/>
                <w:szCs w:val="20"/>
              </w:rPr>
              <w:t>Garantía a primer Requerimiento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emitida por una Entidad Bancaria del Estado Plurinacional de Bolivia, registrada, autorizada y bajo el control de la Autoridad de Supervisión del Sistema Financiero-ASFI,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con características expresas de renovable, irrevocable y de ejecución </w:t>
            </w:r>
            <w:r>
              <w:rPr>
                <w:rFonts w:ascii="Lucida Bright" w:hAnsi="Lucida Bright" w:cs="Calibri"/>
                <w:sz w:val="20"/>
                <w:szCs w:val="20"/>
              </w:rPr>
              <w:t>a primer requerimiento cuya vigencia de (3) días a la orden de Yacimientos Petrolíferos fiscales Bolivianos por un importe equivalente al (100) % del monto del anticipo.</w:t>
            </w:r>
          </w:p>
          <w:p w:rsidR="00232B29" w:rsidRPr="00644C5C" w:rsidRDefault="00232B29" w:rsidP="00F23A7C">
            <w:pPr>
              <w:spacing w:before="100" w:beforeAutospacing="1"/>
              <w:ind w:left="7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</w:p>
        </w:tc>
      </w:tr>
    </w:tbl>
    <w:p w:rsidR="00251BA0" w:rsidRDefault="00251BA0"/>
    <w:sectPr w:rsidR="00251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55418"/>
    <w:multiLevelType w:val="hybridMultilevel"/>
    <w:tmpl w:val="E9B0A8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5E281A"/>
    <w:multiLevelType w:val="hybridMultilevel"/>
    <w:tmpl w:val="47E6D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29"/>
    <w:rsid w:val="00232B29"/>
    <w:rsid w:val="00251BA0"/>
    <w:rsid w:val="00D057AC"/>
    <w:rsid w:val="00E3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ACA2-D009-4804-B50C-6B73818B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232B29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232B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B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B2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Edgar Aruquipa Flores</dc:creator>
  <cp:keywords/>
  <dc:description/>
  <cp:lastModifiedBy>Daniel Edgar Aruquipa Flores</cp:lastModifiedBy>
  <cp:revision>2</cp:revision>
  <cp:lastPrinted>2016-10-25T15:14:00Z</cp:lastPrinted>
  <dcterms:created xsi:type="dcterms:W3CDTF">2016-10-18T19:49:00Z</dcterms:created>
  <dcterms:modified xsi:type="dcterms:W3CDTF">2016-10-25T15:19:00Z</dcterms:modified>
</cp:coreProperties>
</file>