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6021BC" w:rsidRDefault="002E5C53" w:rsidP="002E5C53">
      <w:pPr>
        <w:tabs>
          <w:tab w:val="left" w:pos="0"/>
          <w:tab w:val="left" w:pos="142"/>
        </w:tabs>
        <w:autoSpaceDE w:val="0"/>
        <w:autoSpaceDN w:val="0"/>
        <w:adjustRightInd w:val="0"/>
        <w:jc w:val="both"/>
        <w:rPr>
          <w:rFonts w:asciiTheme="minorHAnsi" w:hAnsiTheme="minorHAnsi" w:cstheme="minorHAnsi"/>
          <w:sz w:val="2"/>
          <w:szCs w:val="20"/>
        </w:rPr>
      </w:pPr>
    </w:p>
    <w:p w:rsidR="002E5C53" w:rsidRPr="00920A4F" w:rsidRDefault="00013F5D"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2E5C53" w:rsidRPr="00920A4F">
        <w:rPr>
          <w:rFonts w:asciiTheme="minorHAnsi" w:hAnsiTheme="minorHAnsi" w:cstheme="minorHAnsi"/>
          <w:b/>
          <w:sz w:val="20"/>
          <w:szCs w:val="20"/>
        </w:rPr>
        <w:t>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21125A">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002E5C53" w:rsidRPr="00920A4F">
        <w:rPr>
          <w:rFonts w:asciiTheme="minorHAnsi" w:hAnsiTheme="minorHAnsi" w:cstheme="minorHAnsi"/>
          <w:sz w:val="20"/>
          <w:szCs w:val="20"/>
        </w:rPr>
        <w:t xml:space="preserve">.  </w:t>
      </w:r>
    </w:p>
    <w:p w:rsidR="002E5C53" w:rsidRPr="00920A4F" w:rsidRDefault="002E5C53" w:rsidP="0021125A">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1125A">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w:t>
      </w:r>
      <w:proofErr w:type="gramStart"/>
      <w:r w:rsidRPr="00920A4F">
        <w:rPr>
          <w:rFonts w:asciiTheme="minorHAnsi" w:hAnsiTheme="minorHAnsi" w:cstheme="minorHAnsi"/>
          <w:sz w:val="20"/>
          <w:szCs w:val="20"/>
        </w:rPr>
        <w:t>accesorios</w:t>
      </w:r>
      <w:proofErr w:type="gramEnd"/>
      <w:r w:rsidRPr="00920A4F">
        <w:rPr>
          <w:rFonts w:asciiTheme="minorHAnsi" w:hAnsiTheme="minorHAnsi" w:cstheme="minorHAnsi"/>
          <w:sz w:val="20"/>
          <w:szCs w:val="20"/>
        </w:rPr>
        <w:t xml:space="preserve">,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6021BC">
        <w:rPr>
          <w:rFonts w:asciiTheme="minorHAnsi" w:hAnsiTheme="minorHAnsi" w:cstheme="minorHAnsi"/>
          <w:sz w:val="20"/>
          <w:szCs w:val="20"/>
        </w:rPr>
        <w:t>n obra y en los planos As-</w:t>
      </w:r>
      <w:proofErr w:type="spellStart"/>
      <w:r w:rsidR="006021BC">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21125A">
      <w:pPr>
        <w:pStyle w:val="Estilo1"/>
        <w:numPr>
          <w:ilvl w:val="1"/>
          <w:numId w:val="18"/>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FD6CC9"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1125A">
      <w:pPr>
        <w:pStyle w:val="Estilo1"/>
        <w:numPr>
          <w:ilvl w:val="1"/>
          <w:numId w:val="18"/>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56AB8" w:rsidRDefault="00556AB8" w:rsidP="002E5C53">
      <w:pPr>
        <w:jc w:val="both"/>
        <w:rPr>
          <w:rFonts w:asciiTheme="minorHAnsi" w:hAnsiTheme="minorHAnsi" w:cstheme="minorHAnsi"/>
          <w:sz w:val="20"/>
          <w:szCs w:val="20"/>
        </w:rPr>
      </w:pPr>
    </w:p>
    <w:p w:rsidR="00556AB8" w:rsidRPr="00920A4F" w:rsidRDefault="00013F5D" w:rsidP="00556AB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556AB8">
        <w:rPr>
          <w:rFonts w:asciiTheme="minorHAnsi" w:hAnsiTheme="minorHAnsi" w:cstheme="minorHAnsi"/>
          <w:b/>
          <w:sz w:val="20"/>
          <w:szCs w:val="20"/>
        </w:rPr>
        <w:t>63</w:t>
      </w:r>
      <w:r w:rsidR="00556AB8" w:rsidRPr="00920A4F">
        <w:rPr>
          <w:rFonts w:asciiTheme="minorHAnsi" w:hAnsiTheme="minorHAnsi" w:cstheme="minorHAnsi"/>
          <w:b/>
          <w:sz w:val="20"/>
          <w:szCs w:val="20"/>
        </w:rPr>
        <w:t xml:space="preserve"> mm.</w:t>
      </w:r>
    </w:p>
    <w:p w:rsidR="00556AB8" w:rsidRPr="00920A4F" w:rsidRDefault="00556AB8" w:rsidP="00556AB8">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556AB8" w:rsidRPr="00920A4F" w:rsidRDefault="00556AB8" w:rsidP="00556AB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556AB8" w:rsidRPr="0028510E"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Pr="00920A4F">
        <w:rPr>
          <w:rFonts w:asciiTheme="minorHAnsi" w:hAnsiTheme="minorHAnsi" w:cstheme="minorHAnsi"/>
          <w:sz w:val="20"/>
          <w:szCs w:val="20"/>
        </w:rPr>
        <w:t xml:space="preserve">.  </w:t>
      </w:r>
    </w:p>
    <w:p w:rsidR="00556AB8" w:rsidRPr="00920A4F" w:rsidRDefault="00556AB8" w:rsidP="00556AB8">
      <w:pPr>
        <w:pStyle w:val="Estilo1"/>
        <w:numPr>
          <w:ilvl w:val="1"/>
          <w:numId w:val="19"/>
        </w:numPr>
        <w:spacing w:before="100" w:beforeAutospacing="1" w:after="100" w:afterAutospacing="1" w:line="276" w:lineRule="auto"/>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56AB8" w:rsidRPr="00920A4F" w:rsidRDefault="00556AB8" w:rsidP="00556AB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lastRenderedPageBreak/>
        <w:t>PROCEDIMIENTO PARA LA EJECUCIÓN</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56AB8"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556AB8" w:rsidRPr="00B83344" w:rsidRDefault="00556AB8" w:rsidP="00556AB8">
      <w:pPr>
        <w:pStyle w:val="Estilo1"/>
        <w:numPr>
          <w:ilvl w:val="1"/>
          <w:numId w:val="1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MITIGACIÓN AMBIENTAL</w:t>
      </w: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6AB8" w:rsidRPr="00920A4F" w:rsidRDefault="00556AB8" w:rsidP="00556AB8">
      <w:pPr>
        <w:contextualSpacing/>
        <w:jc w:val="both"/>
        <w:rPr>
          <w:rFonts w:asciiTheme="minorHAnsi" w:hAnsiTheme="minorHAnsi" w:cstheme="minorHAnsi"/>
          <w:kern w:val="28"/>
          <w:sz w:val="20"/>
          <w:szCs w:val="20"/>
        </w:rPr>
      </w:pPr>
    </w:p>
    <w:p w:rsidR="00556AB8"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56AB8" w:rsidRPr="00920A4F" w:rsidRDefault="00556AB8" w:rsidP="00556AB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lastRenderedPageBreak/>
        <w:t>MEDICIÓN Y FORMA DE PAGO</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556AB8" w:rsidRDefault="002E5C53" w:rsidP="00556AB8">
      <w:pPr>
        <w:jc w:val="both"/>
        <w:rPr>
          <w:rFonts w:asciiTheme="minorHAnsi" w:hAnsiTheme="minorHAnsi" w:cstheme="minorHAnsi"/>
          <w:sz w:val="20"/>
          <w:szCs w:val="20"/>
        </w:rPr>
      </w:pPr>
      <w:bookmarkStart w:id="0" w:name="_GoBack"/>
      <w:bookmarkEnd w:id="0"/>
    </w:p>
    <w:p w:rsidR="002E5C53" w:rsidRPr="00920A4F" w:rsidRDefault="002E5C53"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8510E" w:rsidRPr="0028510E" w:rsidRDefault="0028510E" w:rsidP="0028510E">
      <w:pPr>
        <w:pStyle w:val="Sangra2detindependiente"/>
        <w:spacing w:line="276" w:lineRule="auto"/>
        <w:ind w:left="0"/>
        <w:jc w:val="both"/>
        <w:rPr>
          <w:rFonts w:eastAsia="Times New Roman" w:cstheme="minorHAnsi"/>
          <w:sz w:val="20"/>
          <w:szCs w:val="20"/>
        </w:rPr>
      </w:pPr>
      <w:r>
        <w:rPr>
          <w:rFonts w:eastAsia="Times New Roman" w:cstheme="minorHAnsi"/>
          <w:sz w:val="20"/>
          <w:szCs w:val="20"/>
        </w:rPr>
        <w:t>E</w:t>
      </w:r>
      <w:r w:rsidRPr="0028510E">
        <w:rPr>
          <w:rFonts w:eastAsia="Times New Roman" w:cstheme="minorHAnsi"/>
          <w:sz w:val="20"/>
          <w:szCs w:val="20"/>
        </w:rPr>
        <w:t xml:space="preserve">ste ítem se refiere a la realización de las pruebas de resistencia y hermeticidad, de todos los puntos antes de realizar las interconexiones,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Incluye los trabajos adicionales de obras civiles y mecánicas para la realización de acometidas de prueba como ser excavaciones, soldaduras y demás actividades necesarias para la correcta ejecución de este ítem, autorizados por el Supervisor de Obra.</w:t>
      </w: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CONTRATISTA proporcionará todos los materiales, herramientas y equipos necesarios (Compresoras, manómetros, manifold, válvulas, registradores de presión y temperatura, cofre de prueba, volquetas, camionetas, etc.)  Para la ejecución de los trabajos, los mismos deberán ser aprobados por el SUPERVISOR al inicio de la actividad.</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El CONTRATISTA deberá presentar al Supervisor de Obra los certificados de calibración emitidos por </w:t>
      </w:r>
      <w:r w:rsidRPr="0028510E">
        <w:rPr>
          <w:rFonts w:asciiTheme="minorHAnsi" w:hAnsiTheme="minorHAnsi" w:cstheme="minorHAnsi"/>
          <w:sz w:val="20"/>
          <w:szCs w:val="20"/>
          <w:u w:val="single"/>
        </w:rPr>
        <w:t>IBMETRO</w:t>
      </w:r>
      <w:r w:rsidRPr="0028510E">
        <w:rPr>
          <w:rFonts w:asciiTheme="minorHAnsi" w:hAnsiTheme="minorHAnsi" w:cstheme="minorHAnsi"/>
          <w:sz w:val="20"/>
          <w:szCs w:val="20"/>
        </w:rPr>
        <w:t xml:space="preserve"> de todos los equipos de medición de presión empleados en las pruebas hidrostáticas, de hermeticidad y Resistencia, antes de</w:t>
      </w:r>
      <w:r>
        <w:rPr>
          <w:rFonts w:asciiTheme="minorHAnsi" w:hAnsiTheme="minorHAnsi" w:cstheme="minorHAnsi"/>
          <w:sz w:val="20"/>
          <w:szCs w:val="20"/>
        </w:rPr>
        <w:t xml:space="preserve"> la ejecución de dichas pruebas</w:t>
      </w:r>
      <w:r w:rsidR="002E5C53" w:rsidRPr="00920A4F">
        <w:rPr>
          <w:rFonts w:asciiTheme="minorHAnsi" w:hAnsiTheme="minorHAnsi" w:cstheme="minorHAnsi"/>
          <w:sz w:val="20"/>
          <w:szCs w:val="20"/>
        </w:rPr>
        <w:t>.</w:t>
      </w: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6021BC" w:rsidRDefault="006021BC" w:rsidP="002E5C53">
      <w:pPr>
        <w:pStyle w:val="Estilo1"/>
        <w:tabs>
          <w:tab w:val="left" w:pos="426"/>
        </w:tabs>
        <w:rPr>
          <w:rFonts w:asciiTheme="minorHAnsi" w:hAnsiTheme="minorHAnsi" w:cstheme="minorHAnsi"/>
          <w:iCs/>
          <w:sz w:val="20"/>
          <w:szCs w:val="20"/>
        </w:rPr>
      </w:pPr>
    </w:p>
    <w:p w:rsidR="002E5C53" w:rsidRPr="00B83344" w:rsidRDefault="002E5C53" w:rsidP="00556AB8">
      <w:pPr>
        <w:pStyle w:val="Estilo1"/>
        <w:numPr>
          <w:ilvl w:val="1"/>
          <w:numId w:val="24"/>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C09" w:rsidRDefault="00204C09" w:rsidP="0031499A">
      <w:r>
        <w:separator/>
      </w:r>
    </w:p>
  </w:endnote>
  <w:endnote w:type="continuationSeparator" w:id="0">
    <w:p w:rsidR="00204C09" w:rsidRDefault="00204C0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6808F1" w:rsidP="0031499A">
          <w:pPr>
            <w:pStyle w:val="Piedepgina"/>
            <w:rPr>
              <w:rFonts w:ascii="Calibri" w:hAnsi="Calibri"/>
              <w:sz w:val="16"/>
              <w:szCs w:val="20"/>
            </w:rPr>
          </w:pPr>
          <w:r>
            <w:rPr>
              <w:rFonts w:ascii="Calibri" w:hAnsi="Calibri"/>
              <w:sz w:val="16"/>
              <w:szCs w:val="20"/>
            </w:rPr>
            <w:t>Revisa</w:t>
          </w:r>
          <w:r w:rsidR="0031499A"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C09" w:rsidRDefault="00204C09" w:rsidP="0031499A">
      <w:r>
        <w:separator/>
      </w:r>
    </w:p>
  </w:footnote>
  <w:footnote w:type="continuationSeparator" w:id="0">
    <w:p w:rsidR="00204C09" w:rsidRDefault="00204C09"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28510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94285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w:t>
          </w:r>
          <w:r w:rsidR="006021BC">
            <w:rPr>
              <w:rFonts w:ascii="Calibri" w:eastAsia="Arial Unicode MS" w:hAnsi="Calibri" w:cs="Calibri"/>
              <w:b/>
              <w:sz w:val="18"/>
              <w:szCs w:val="18"/>
              <w:lang w:val="es-MX"/>
            </w:rPr>
            <w:t xml:space="preserve">IFICACIONES TECNICAS PARA </w:t>
          </w:r>
          <w:r w:rsidR="006021BC" w:rsidRPr="005F4E4C">
            <w:rPr>
              <w:rFonts w:ascii="Calibri" w:eastAsia="Arial Unicode MS" w:hAnsi="Calibri" w:cs="Calibri"/>
              <w:b/>
              <w:bCs/>
              <w:sz w:val="18"/>
              <w:szCs w:val="18"/>
            </w:rPr>
            <w:t xml:space="preserve">OBRAS MECÁNICAS </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13F5D">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13F5D">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11B5BC2"/>
    <w:multiLevelType w:val="hybridMultilevel"/>
    <w:tmpl w:val="B90487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51069C5"/>
    <w:multiLevelType w:val="multilevel"/>
    <w:tmpl w:val="DA92AB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4A347343"/>
    <w:multiLevelType w:val="multilevel"/>
    <w:tmpl w:val="376ECF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0D7C14"/>
    <w:multiLevelType w:val="multilevel"/>
    <w:tmpl w:val="DA92AB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C0A7396"/>
    <w:multiLevelType w:val="multilevel"/>
    <w:tmpl w:val="30A807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26060CE"/>
    <w:multiLevelType w:val="multilevel"/>
    <w:tmpl w:val="1BF28E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681073"/>
    <w:multiLevelType w:val="multilevel"/>
    <w:tmpl w:val="5A668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786F20"/>
    <w:multiLevelType w:val="multilevel"/>
    <w:tmpl w:val="DA92AB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B4A1C93"/>
    <w:multiLevelType w:val="multilevel"/>
    <w:tmpl w:val="E9EA4C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20"/>
  </w:num>
  <w:num w:numId="5">
    <w:abstractNumId w:val="5"/>
  </w:num>
  <w:num w:numId="6">
    <w:abstractNumId w:val="9"/>
  </w:num>
  <w:num w:numId="7">
    <w:abstractNumId w:val="12"/>
  </w:num>
  <w:num w:numId="8">
    <w:abstractNumId w:val="15"/>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4"/>
  </w:num>
  <w:num w:numId="14">
    <w:abstractNumId w:val="7"/>
  </w:num>
  <w:num w:numId="15">
    <w:abstractNumId w:val="22"/>
  </w:num>
  <w:num w:numId="16">
    <w:abstractNumId w:val="0"/>
  </w:num>
  <w:num w:numId="17">
    <w:abstractNumId w:val="3"/>
  </w:num>
  <w:num w:numId="18">
    <w:abstractNumId w:val="23"/>
  </w:num>
  <w:num w:numId="19">
    <w:abstractNumId w:val="19"/>
  </w:num>
  <w:num w:numId="20">
    <w:abstractNumId w:val="21"/>
  </w:num>
  <w:num w:numId="21">
    <w:abstractNumId w:val="18"/>
  </w:num>
  <w:num w:numId="22">
    <w:abstractNumId w:val="16"/>
  </w:num>
  <w:num w:numId="23">
    <w:abstractNumId w:val="2"/>
  </w:num>
  <w:num w:numId="24">
    <w:abstractNumId w:val="24"/>
  </w:num>
  <w:num w:numId="25">
    <w:abstractNumId w:val="11"/>
  </w:num>
  <w:num w:numId="26">
    <w:abstractNumId w:val="25"/>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3F5D"/>
    <w:rsid w:val="000B5A43"/>
    <w:rsid w:val="000E49E8"/>
    <w:rsid w:val="001131E2"/>
    <w:rsid w:val="00204C09"/>
    <w:rsid w:val="0021125A"/>
    <w:rsid w:val="0028510E"/>
    <w:rsid w:val="002E5C53"/>
    <w:rsid w:val="0031499A"/>
    <w:rsid w:val="0038112E"/>
    <w:rsid w:val="003B188F"/>
    <w:rsid w:val="004174C0"/>
    <w:rsid w:val="00556AB8"/>
    <w:rsid w:val="005E6DA2"/>
    <w:rsid w:val="006021BC"/>
    <w:rsid w:val="006808F1"/>
    <w:rsid w:val="006A7E64"/>
    <w:rsid w:val="006D5E32"/>
    <w:rsid w:val="006F51B7"/>
    <w:rsid w:val="006F5B29"/>
    <w:rsid w:val="007A1427"/>
    <w:rsid w:val="007F2ABA"/>
    <w:rsid w:val="008A0C91"/>
    <w:rsid w:val="00930BDB"/>
    <w:rsid w:val="009419E5"/>
    <w:rsid w:val="0094285A"/>
    <w:rsid w:val="00A237EC"/>
    <w:rsid w:val="00C13047"/>
    <w:rsid w:val="00CC037A"/>
    <w:rsid w:val="00DC4E18"/>
    <w:rsid w:val="00F7595D"/>
    <w:rsid w:val="00FD6CC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10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2042</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yimi</cp:lastModifiedBy>
  <cp:revision>25</cp:revision>
  <cp:lastPrinted>2016-05-30T15:28:00Z</cp:lastPrinted>
  <dcterms:created xsi:type="dcterms:W3CDTF">2016-03-07T16:22:00Z</dcterms:created>
  <dcterms:modified xsi:type="dcterms:W3CDTF">2016-10-12T14:12:00Z</dcterms:modified>
</cp:coreProperties>
</file>