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43DC7143" w:rsidR="003E7E04" w:rsidRDefault="003E7E04" w:rsidP="00587BF2">
      <w:pPr>
        <w:shd w:val="clear" w:color="auto" w:fill="FFFFFF"/>
        <w:jc w:val="both"/>
        <w:rPr>
          <w:rFonts w:asciiTheme="minorHAnsi" w:hAnsiTheme="minorHAnsi" w:cs="Segoe UI"/>
          <w:sz w:val="22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 xml:space="preserve">A elección del  proponente </w:t>
      </w:r>
      <w:r w:rsidR="00587BF2">
        <w:rPr>
          <w:rFonts w:asciiTheme="minorHAnsi" w:hAnsiTheme="minorHAnsi" w:cs="Segoe UI"/>
          <w:sz w:val="22"/>
          <w:lang w:val="es-BO"/>
        </w:rPr>
        <w:t>o adjudicado, según corresponda esta podrá optar por uno de los siguientes instrumentos financieros</w:t>
      </w:r>
      <w:r w:rsidRPr="006B4150">
        <w:rPr>
          <w:rFonts w:asciiTheme="minorHAnsi" w:hAnsiTheme="minorHAnsi" w:cs="Segoe UI"/>
          <w:sz w:val="22"/>
          <w:lang w:val="es-BO"/>
        </w:rPr>
        <w:t>:</w:t>
      </w:r>
    </w:p>
    <w:p w14:paraId="7AF1FAB1" w14:textId="77777777" w:rsidR="00587BF2" w:rsidRPr="000A0795" w:rsidRDefault="00587BF2" w:rsidP="00587BF2">
      <w:pPr>
        <w:shd w:val="clear" w:color="auto" w:fill="FFFFFF"/>
        <w:jc w:val="both"/>
        <w:rPr>
          <w:rFonts w:asciiTheme="minorHAnsi" w:hAnsiTheme="minorHAnsi" w:cs="Segoe UI"/>
          <w:sz w:val="22"/>
          <w:szCs w:val="23"/>
          <w:lang w:val="es-BO"/>
        </w:rPr>
      </w:pP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4053AC1E" w14:textId="6B121E4C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EF89037" w14:textId="77777777" w:rsidR="00D02E07" w:rsidRPr="003E7E04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  <w:lang w:val="es-BO"/>
        </w:rPr>
      </w:pPr>
    </w:p>
    <w:p w14:paraId="00C16BDF" w14:textId="58739D58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</w:t>
      </w:r>
      <w:r w:rsidR="00A15010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2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65C185E9" w14:textId="77777777" w:rsidR="00587BF2" w:rsidRDefault="00587BF2" w:rsidP="00587BF2">
      <w:pPr>
        <w:shd w:val="clear" w:color="auto" w:fill="FFFFFF"/>
        <w:jc w:val="both"/>
        <w:rPr>
          <w:rFonts w:asciiTheme="minorHAnsi" w:hAnsiTheme="minorHAnsi" w:cs="Segoe UI"/>
          <w:sz w:val="22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 xml:space="preserve">A elección del  proponente </w:t>
      </w:r>
      <w:r>
        <w:rPr>
          <w:rFonts w:asciiTheme="minorHAnsi" w:hAnsiTheme="minorHAnsi" w:cs="Segoe UI"/>
          <w:sz w:val="22"/>
          <w:lang w:val="es-BO"/>
        </w:rPr>
        <w:t>o adjudicado, según corresponda esta podrá optar por uno de los siguientes instrumentos financieros</w:t>
      </w:r>
      <w:r w:rsidRPr="006B4150">
        <w:rPr>
          <w:rFonts w:asciiTheme="minorHAnsi" w:hAnsiTheme="minorHAnsi" w:cs="Segoe UI"/>
          <w:sz w:val="22"/>
          <w:lang w:val="es-BO"/>
        </w:rPr>
        <w:t>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lastRenderedPageBreak/>
        <w:t>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410847FC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</w:t>
      </w:r>
      <w:r w:rsidR="00A15010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3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1CB4F902" w14:textId="77777777" w:rsidR="00587BF2" w:rsidRDefault="00587BF2" w:rsidP="00587BF2">
      <w:pPr>
        <w:shd w:val="clear" w:color="auto" w:fill="FFFFFF"/>
        <w:jc w:val="both"/>
        <w:rPr>
          <w:rFonts w:asciiTheme="minorHAnsi" w:hAnsiTheme="minorHAnsi" w:cs="Segoe UI"/>
          <w:sz w:val="22"/>
          <w:lang w:val="es-BO"/>
        </w:rPr>
      </w:pPr>
    </w:p>
    <w:p w14:paraId="551B8B1F" w14:textId="77777777" w:rsidR="00587BF2" w:rsidRDefault="00587BF2" w:rsidP="00587BF2">
      <w:pPr>
        <w:shd w:val="clear" w:color="auto" w:fill="FFFFFF"/>
        <w:jc w:val="both"/>
        <w:rPr>
          <w:rFonts w:asciiTheme="minorHAnsi" w:hAnsiTheme="minorHAnsi" w:cs="Segoe UI"/>
          <w:sz w:val="22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 xml:space="preserve">A elección del  proponente </w:t>
      </w:r>
      <w:r>
        <w:rPr>
          <w:rFonts w:asciiTheme="minorHAnsi" w:hAnsiTheme="minorHAnsi" w:cs="Segoe UI"/>
          <w:sz w:val="22"/>
          <w:lang w:val="es-BO"/>
        </w:rPr>
        <w:t>o adjudicado, según corresponda esta podrá optar por uno de los siguientes instrumentos financieros</w:t>
      </w:r>
      <w:r w:rsidRPr="006B4150">
        <w:rPr>
          <w:rFonts w:asciiTheme="minorHAnsi" w:hAnsiTheme="minorHAnsi" w:cs="Segoe UI"/>
          <w:sz w:val="22"/>
          <w:lang w:val="es-BO"/>
        </w:rPr>
        <w:t>: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sectPr w:rsidR="003E7E0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87F7E" w14:textId="77777777" w:rsidR="00292A77" w:rsidRDefault="00292A77" w:rsidP="0031499A">
      <w:r>
        <w:separator/>
      </w:r>
    </w:p>
  </w:endnote>
  <w:endnote w:type="continuationSeparator" w:id="0">
    <w:p w14:paraId="7EAC349E" w14:textId="77777777" w:rsidR="00292A77" w:rsidRDefault="00292A77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03899" w14:textId="77777777" w:rsidR="00292A77" w:rsidRDefault="00292A77" w:rsidP="0031499A">
      <w:r>
        <w:separator/>
      </w:r>
    </w:p>
  </w:footnote>
  <w:footnote w:type="continuationSeparator" w:id="0">
    <w:p w14:paraId="20CF154B" w14:textId="77777777" w:rsidR="00292A77" w:rsidRDefault="00292A77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105C3352" w:rsidR="00BE0210" w:rsidRPr="0076024C" w:rsidRDefault="00BE0210" w:rsidP="003F3F0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2C1FC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5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GARANTIAS FINACIERAS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587BF2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587BF2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65D79"/>
    <w:rsid w:val="00071F8C"/>
    <w:rsid w:val="000848A9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292A77"/>
    <w:rsid w:val="002C1FC8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5124D8"/>
    <w:rsid w:val="0052117E"/>
    <w:rsid w:val="005233DB"/>
    <w:rsid w:val="00523480"/>
    <w:rsid w:val="005276CD"/>
    <w:rsid w:val="00574A38"/>
    <w:rsid w:val="00587BF2"/>
    <w:rsid w:val="005A2C84"/>
    <w:rsid w:val="005A427B"/>
    <w:rsid w:val="005C4EE2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04FB5"/>
    <w:rsid w:val="00A15010"/>
    <w:rsid w:val="00A256F0"/>
    <w:rsid w:val="00A25FE1"/>
    <w:rsid w:val="00A366F6"/>
    <w:rsid w:val="00A54BD3"/>
    <w:rsid w:val="00AA06CB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C0FD1"/>
    <w:rsid w:val="00CF668A"/>
    <w:rsid w:val="00D02E07"/>
    <w:rsid w:val="00D065A3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9783F"/>
    <w:rsid w:val="00EA0D44"/>
    <w:rsid w:val="00EC5B64"/>
    <w:rsid w:val="00EE1206"/>
    <w:rsid w:val="00F11313"/>
    <w:rsid w:val="00F3324B"/>
    <w:rsid w:val="00F344AA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Patricia Yohana Cardozo Saavedra</cp:lastModifiedBy>
  <cp:revision>4</cp:revision>
  <cp:lastPrinted>2016-11-09T20:50:00Z</cp:lastPrinted>
  <dcterms:created xsi:type="dcterms:W3CDTF">2016-08-25T13:16:00Z</dcterms:created>
  <dcterms:modified xsi:type="dcterms:W3CDTF">2016-11-09T20:50:00Z</dcterms:modified>
</cp:coreProperties>
</file>