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F6" w:rsidRDefault="00AF03F6" w:rsidP="00AF03F6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  <w:r w:rsidRPr="002F6CB9">
        <w:rPr>
          <w:rFonts w:ascii="Verdana" w:hAnsi="Verdana" w:cs="Calibri"/>
          <w:b/>
          <w:sz w:val="16"/>
          <w:szCs w:val="16"/>
        </w:rPr>
        <w:t xml:space="preserve">ANEXO </w:t>
      </w:r>
      <w:r w:rsidR="00966D40">
        <w:rPr>
          <w:rFonts w:ascii="Verdana" w:hAnsi="Verdana" w:cs="Calibri"/>
          <w:b/>
          <w:sz w:val="16"/>
          <w:szCs w:val="16"/>
        </w:rPr>
        <w:t>8</w:t>
      </w:r>
    </w:p>
    <w:p w:rsidR="000F69B9" w:rsidRDefault="000F69B9" w:rsidP="00AF03F6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  <w:r>
        <w:rPr>
          <w:rFonts w:ascii="Verdana" w:hAnsi="Verdana" w:cs="Calibri"/>
          <w:b/>
          <w:sz w:val="16"/>
          <w:szCs w:val="16"/>
        </w:rPr>
        <w:t>GARANTIAS FINANCIERAS</w:t>
      </w:r>
    </w:p>
    <w:p w:rsidR="00D21AE8" w:rsidRDefault="00D21AE8" w:rsidP="005E15D0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AF03F6" w:rsidRPr="00B877C8" w:rsidTr="00777F0A">
        <w:trPr>
          <w:trHeight w:val="284"/>
        </w:trPr>
        <w:tc>
          <w:tcPr>
            <w:tcW w:w="5000" w:type="pct"/>
            <w:shd w:val="clear" w:color="auto" w:fill="B4C6E7"/>
            <w:vAlign w:val="center"/>
          </w:tcPr>
          <w:p w:rsidR="00AF03F6" w:rsidRPr="00B877C8" w:rsidRDefault="001C05E5" w:rsidP="003F115B">
            <w:pPr>
              <w:spacing w:line="220" w:lineRule="atLeas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GARANTIAS FINANCIERAS</w:t>
            </w:r>
          </w:p>
        </w:tc>
      </w:tr>
      <w:tr w:rsidR="00AF03F6" w:rsidRPr="00B877C8" w:rsidTr="00777F0A">
        <w:trPr>
          <w:trHeight w:val="64"/>
        </w:trPr>
        <w:tc>
          <w:tcPr>
            <w:tcW w:w="5000" w:type="pct"/>
            <w:shd w:val="clear" w:color="auto" w:fill="auto"/>
            <w:vAlign w:val="center"/>
          </w:tcPr>
          <w:p w:rsidR="001C05E5" w:rsidRPr="00B877C8" w:rsidRDefault="001C05E5" w:rsidP="001C05E5">
            <w:pPr>
              <w:pStyle w:val="Ttulo2"/>
              <w:keepNext w:val="0"/>
              <w:keepLines/>
              <w:spacing w:before="0" w:after="0" w:line="220" w:lineRule="atLeast"/>
              <w:contextualSpacing/>
              <w:jc w:val="both"/>
              <w:rPr>
                <w:rFonts w:ascii="Verdana" w:eastAsia="Arial Unicode MS" w:hAnsi="Verdana" w:cs="Vijaya"/>
                <w:i w:val="0"/>
                <w:sz w:val="16"/>
                <w:szCs w:val="16"/>
              </w:rPr>
            </w:pPr>
            <w:bookmarkStart w:id="0" w:name="_Toc445304325"/>
            <w:bookmarkStart w:id="1" w:name="_Toc445305311"/>
            <w:bookmarkStart w:id="2" w:name="_Toc445306296"/>
            <w:bookmarkStart w:id="3" w:name="_Toc445369292"/>
            <w:bookmarkStart w:id="4" w:name="_Toc445820041"/>
            <w:r w:rsidRPr="00B877C8">
              <w:rPr>
                <w:rFonts w:ascii="Verdana" w:eastAsia="Arial Unicode MS" w:hAnsi="Verdana" w:cs="Vijaya"/>
                <w:i w:val="0"/>
                <w:sz w:val="16"/>
                <w:szCs w:val="16"/>
              </w:rPr>
              <w:t>GARANTIA DE SERIEDAD DE PROPUESTA</w:t>
            </w:r>
            <w:bookmarkEnd w:id="0"/>
            <w:bookmarkEnd w:id="1"/>
            <w:bookmarkEnd w:id="2"/>
            <w:bookmarkEnd w:id="3"/>
            <w:bookmarkEnd w:id="4"/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Con el propósito de garantizar intención de culminar el proceso de contratación, la empresa proponente deberá presentar una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Garantía de Seriedad de Propuesta.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  <w:highlight w:val="yellow"/>
              </w:rPr>
            </w:pPr>
          </w:p>
          <w:p w:rsidR="001C05E5" w:rsidRPr="00B877C8" w:rsidRDefault="001C05E5" w:rsidP="001C05E5">
            <w:pPr>
              <w:numPr>
                <w:ilvl w:val="0"/>
                <w:numId w:val="29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Boleta de Garantía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 – ASFI, a la orden/a favor de Yacimientos Petrolíferos Fiscales Bolivianos / YPFB, con las características expresas de renovable, irrevocable y de ejecución inmediata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90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computables a partir de la fecha de Presentación de Propuestas, por un monto equivalente de al menos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1%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valor total de la propuesta económica.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</w:p>
          <w:p w:rsidR="001C05E5" w:rsidRPr="00B877C8" w:rsidRDefault="001C05E5" w:rsidP="001C05E5">
            <w:pPr>
              <w:numPr>
                <w:ilvl w:val="0"/>
                <w:numId w:val="29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Garantía a Primer Requerimiento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Emitida por una</w:t>
            </w:r>
            <w:r w:rsidRPr="00B877C8">
              <w:rPr>
                <w:rFonts w:ascii="Calibri" w:hAnsi="Calibri" w:cs="Calibri"/>
                <w:sz w:val="16"/>
                <w:szCs w:val="16"/>
                <w:lang w:val="es-BO" w:eastAsia="es-BO"/>
              </w:rPr>
              <w:t xml:space="preserve"> 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Entidad de Intermediación Financiera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 irrevocable y de ejecución a primer requerimiento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90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computables a partir de la fecha de Presentación de Propuestas, por un monto equivalente de al menos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1%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valor total la propuesta económica.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</w:p>
          <w:p w:rsidR="001C05E5" w:rsidRPr="00B877C8" w:rsidRDefault="001C05E5" w:rsidP="001C05E5">
            <w:pPr>
              <w:numPr>
                <w:ilvl w:val="0"/>
                <w:numId w:val="29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Póliza de caución a Primer requerimiento para Entidades Públicas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90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computables a partir de la fecha de Presentación de Propuestas, por un monto equivalente de al menos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1%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valor total de la propuesta económica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</w:p>
          <w:p w:rsidR="001C05E5" w:rsidRPr="00B877C8" w:rsidRDefault="001C05E5" w:rsidP="001C05E5">
            <w:pPr>
              <w:pStyle w:val="Ttulo2"/>
              <w:keepNext w:val="0"/>
              <w:keepLines/>
              <w:spacing w:before="0" w:after="0" w:line="220" w:lineRule="atLeast"/>
              <w:contextualSpacing/>
              <w:jc w:val="both"/>
              <w:rPr>
                <w:rFonts w:ascii="Verdana" w:eastAsia="Arial Unicode MS" w:hAnsi="Verdana" w:cs="Vijaya"/>
                <w:i w:val="0"/>
                <w:sz w:val="16"/>
                <w:szCs w:val="16"/>
              </w:rPr>
            </w:pPr>
            <w:bookmarkStart w:id="5" w:name="_Toc445820052"/>
            <w:r w:rsidRPr="00B877C8">
              <w:rPr>
                <w:rFonts w:ascii="Verdana" w:eastAsia="Arial Unicode MS" w:hAnsi="Verdana" w:cs="Vijaya"/>
                <w:i w:val="0"/>
                <w:sz w:val="16"/>
                <w:szCs w:val="16"/>
              </w:rPr>
              <w:t>GARANTÍA DE CORRECTA INVERSIÓN DE ANTICIPO (OPCIONAL)</w:t>
            </w:r>
            <w:bookmarkEnd w:id="5"/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Una vez adjudicada la obra con el propósito de garantizar la devolución del anticipo inicial entregado, en caso que la empresa CONTRATISTA lo haya sido </w:t>
            </w:r>
            <w:bookmarkStart w:id="6" w:name="_GoBack"/>
            <w:bookmarkEnd w:id="6"/>
            <w:r w:rsidR="004135F8"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solicitada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, esta deberá hacer entrega para la firma de contrato la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Garantía de Cumplimiento de Anticipo.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  <w:highlight w:val="yellow"/>
              </w:rPr>
            </w:pPr>
          </w:p>
          <w:p w:rsidR="001C05E5" w:rsidRPr="00B877C8" w:rsidRDefault="001C05E5" w:rsidP="001C05E5">
            <w:pPr>
              <w:numPr>
                <w:ilvl w:val="0"/>
                <w:numId w:val="30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Boleta de Garantía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irrevocable y de ejecución inmediata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120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, computables a partir de la fecha de su emisión, por un monto equivalente al cien por ciento (100%) del anticipo otorgado.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  <w:highlight w:val="yellow"/>
              </w:rPr>
            </w:pPr>
          </w:p>
          <w:p w:rsidR="001C05E5" w:rsidRPr="00B877C8" w:rsidRDefault="001C05E5" w:rsidP="001C05E5">
            <w:pPr>
              <w:numPr>
                <w:ilvl w:val="0"/>
                <w:numId w:val="30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Garantía a Primer Requerimiento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 xml:space="preserve">(Bancaria) 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irrevocable y de ejecución a primer requerimiento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120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, computables a partir de la fecha de su emisión, por un monto equivalente al cien por ciento (100%) del anticipo otorgado.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</w:p>
          <w:p w:rsidR="001C05E5" w:rsidRPr="00B877C8" w:rsidRDefault="001C05E5" w:rsidP="001C05E5">
            <w:pPr>
              <w:pStyle w:val="Ttulo2"/>
              <w:keepNext w:val="0"/>
              <w:keepLines/>
              <w:spacing w:before="0" w:after="0" w:line="220" w:lineRule="atLeast"/>
              <w:contextualSpacing/>
              <w:jc w:val="both"/>
              <w:rPr>
                <w:rFonts w:ascii="Verdana" w:eastAsia="Arial Unicode MS" w:hAnsi="Verdana" w:cs="Vijaya"/>
                <w:i w:val="0"/>
                <w:sz w:val="16"/>
                <w:szCs w:val="16"/>
              </w:rPr>
            </w:pPr>
            <w:bookmarkStart w:id="7" w:name="_Toc445820053"/>
            <w:r w:rsidRPr="00B877C8">
              <w:rPr>
                <w:rFonts w:ascii="Verdana" w:eastAsia="Arial Unicode MS" w:hAnsi="Verdana" w:cs="Vijaya"/>
                <w:i w:val="0"/>
                <w:sz w:val="16"/>
                <w:szCs w:val="16"/>
              </w:rPr>
              <w:t>GARANTÍA DE CUMPLIMIENTO DE CONTRATO</w:t>
            </w:r>
            <w:bookmarkEnd w:id="7"/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Con el propósito de garantizar la vigencia, conclusión y entrega definitiva del objeto del contrato, la empresa CONTRATISTA deberá presentar una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Garantía de Cumplimiento de Contrato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  <w:highlight w:val="yellow"/>
              </w:rPr>
            </w:pPr>
          </w:p>
          <w:p w:rsidR="001C05E5" w:rsidRPr="00B877C8" w:rsidRDefault="001C05E5" w:rsidP="001C05E5">
            <w:pPr>
              <w:numPr>
                <w:ilvl w:val="0"/>
                <w:numId w:val="31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Boleta de Garantía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lastRenderedPageBreak/>
              <w:t xml:space="preserve">irrevocable y de ejecución inmediata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60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adicionales a la vigencia del contrato, por un monto equivalente al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7% del valor total del contrato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  <w:highlight w:val="yellow"/>
              </w:rPr>
            </w:pPr>
          </w:p>
          <w:p w:rsidR="001C05E5" w:rsidRPr="00B877C8" w:rsidRDefault="001C05E5" w:rsidP="001C05E5">
            <w:pPr>
              <w:numPr>
                <w:ilvl w:val="0"/>
                <w:numId w:val="31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Garantía a Primer Requerimiento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irrevocable y de ejecución a primer requerimiento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60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adicionales a la vigencia del contrato, por un monto equivalente al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7% del valor total del contrato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</w:p>
          <w:p w:rsidR="001C05E5" w:rsidRPr="00B877C8" w:rsidRDefault="001C05E5" w:rsidP="001C05E5">
            <w:pPr>
              <w:numPr>
                <w:ilvl w:val="0"/>
                <w:numId w:val="31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Póliza de caución a Primer requerimiento para Entidades Públicas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Cs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60 días calendario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 xml:space="preserve"> adicionales a la vigencia del contrato, por un monto equivalente al </w:t>
            </w:r>
            <w:r w:rsidRPr="00B877C8"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  <w:t>7% del valor total del contrato</w:t>
            </w:r>
            <w:r w:rsidRPr="00B877C8">
              <w:rPr>
                <w:rFonts w:ascii="Verdana" w:eastAsia="Arial Unicode MS" w:hAnsi="Verdana" w:cs="Vijaya"/>
                <w:bCs/>
                <w:sz w:val="16"/>
                <w:szCs w:val="16"/>
              </w:rPr>
              <w:t>.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b/>
                <w:bCs/>
                <w:sz w:val="16"/>
                <w:szCs w:val="16"/>
              </w:rPr>
            </w:pPr>
          </w:p>
          <w:p w:rsidR="001C05E5" w:rsidRPr="00B877C8" w:rsidRDefault="001C05E5" w:rsidP="001C05E5">
            <w:pPr>
              <w:pStyle w:val="Ttulo2"/>
              <w:keepNext w:val="0"/>
              <w:keepLines/>
              <w:spacing w:before="0" w:after="0" w:line="220" w:lineRule="atLeast"/>
              <w:contextualSpacing/>
              <w:jc w:val="both"/>
              <w:rPr>
                <w:rFonts w:ascii="Verdana" w:eastAsia="Arial Unicode MS" w:hAnsi="Verdana" w:cs="Vijaya"/>
                <w:i w:val="0"/>
                <w:sz w:val="16"/>
                <w:szCs w:val="16"/>
              </w:rPr>
            </w:pPr>
            <w:bookmarkStart w:id="8" w:name="_Toc445470348"/>
            <w:bookmarkStart w:id="9" w:name="_Toc445820054"/>
            <w:r w:rsidRPr="00B877C8">
              <w:rPr>
                <w:rFonts w:ascii="Verdana" w:eastAsia="Arial Unicode MS" w:hAnsi="Verdana" w:cs="Vijaya"/>
                <w:i w:val="0"/>
                <w:sz w:val="16"/>
                <w:szCs w:val="16"/>
              </w:rPr>
              <w:t>GARANTÍA ADICIONAL DE CUMPLIMIENTO DE CONTRATO</w:t>
            </w:r>
            <w:bookmarkEnd w:id="8"/>
            <w:bookmarkEnd w:id="9"/>
            <w:r w:rsidRPr="00B877C8">
              <w:rPr>
                <w:rFonts w:ascii="Verdana" w:eastAsia="Arial Unicode MS" w:hAnsi="Verdana" w:cs="Vijaya"/>
                <w:i w:val="0"/>
                <w:sz w:val="16"/>
                <w:szCs w:val="16"/>
              </w:rPr>
              <w:t xml:space="preserve"> DE OBRA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>Con el propósito de garantizar la calidad de la obra, en los casos en los que la propuesta de la empresa CONTRATISTA no superé 85% del precio referencial, la misma deberá presentar una Garantía Adicional de Cumplimiento de Contrato de obras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sz w:val="16"/>
                <w:szCs w:val="16"/>
                <w:highlight w:val="yellow"/>
              </w:rPr>
            </w:pPr>
          </w:p>
          <w:p w:rsidR="001C05E5" w:rsidRPr="00B877C8" w:rsidRDefault="001C05E5" w:rsidP="001C05E5">
            <w:pPr>
              <w:numPr>
                <w:ilvl w:val="0"/>
                <w:numId w:val="32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sz w:val="16"/>
                <w:szCs w:val="16"/>
              </w:rPr>
              <w:t>Boleta de Garantía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irrevocable y de ejecución inmediata con vigencia de </w:t>
            </w:r>
            <w:r w:rsidRPr="00B877C8">
              <w:rPr>
                <w:rFonts w:ascii="Verdana" w:eastAsia="Arial Unicode MS" w:hAnsi="Verdana" w:cs="Vijaya"/>
                <w:b/>
                <w:sz w:val="16"/>
                <w:szCs w:val="16"/>
              </w:rPr>
              <w:t>60 días calendario</w:t>
            </w: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 xml:space="preserve"> adicionales a la vigencia del contrato, por un monto equivalente a la diferencia entre el ochenta y cinco por ciento (85%) del Precio Referencial y el valor de su propuesta económica. </w:t>
            </w:r>
          </w:p>
          <w:p w:rsidR="001C05E5" w:rsidRPr="00B877C8" w:rsidRDefault="001C05E5" w:rsidP="001C05E5">
            <w:pPr>
              <w:spacing w:line="220" w:lineRule="atLeast"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</w:p>
          <w:p w:rsidR="001C05E5" w:rsidRPr="00B877C8" w:rsidRDefault="001C05E5" w:rsidP="001C05E5">
            <w:pPr>
              <w:numPr>
                <w:ilvl w:val="0"/>
                <w:numId w:val="32"/>
              </w:numPr>
              <w:spacing w:line="220" w:lineRule="atLeast"/>
              <w:ind w:left="357" w:hanging="357"/>
              <w:jc w:val="both"/>
              <w:rPr>
                <w:rFonts w:ascii="Verdana" w:eastAsia="Arial Unicode MS" w:hAnsi="Verdana" w:cs="Vijaya"/>
                <w:b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b/>
                <w:sz w:val="16"/>
                <w:szCs w:val="16"/>
              </w:rPr>
              <w:t>Garantía a Primer Requerimiento</w:t>
            </w:r>
          </w:p>
          <w:p w:rsidR="00D21AE8" w:rsidRDefault="001C05E5" w:rsidP="001C05E5">
            <w:pPr>
              <w:autoSpaceDE w:val="0"/>
              <w:autoSpaceDN w:val="0"/>
              <w:adjustRightInd w:val="0"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 xml:space="preserve">Emitida por una Entidad de Intermediación Financiera </w:t>
            </w:r>
            <w:r w:rsidRPr="00B877C8">
              <w:rPr>
                <w:rFonts w:ascii="Verdana" w:eastAsia="Arial Unicode MS" w:hAnsi="Verdana" w:cs="Vijaya"/>
                <w:b/>
                <w:sz w:val="16"/>
                <w:szCs w:val="16"/>
              </w:rPr>
              <w:t>(Bancaria)</w:t>
            </w: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 xml:space="preserve">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a primer requerimiento con vigencia de </w:t>
            </w:r>
            <w:r w:rsidRPr="00B877C8">
              <w:rPr>
                <w:rFonts w:ascii="Verdana" w:eastAsia="Arial Unicode MS" w:hAnsi="Verdana" w:cs="Vijaya"/>
                <w:b/>
                <w:sz w:val="16"/>
                <w:szCs w:val="16"/>
              </w:rPr>
              <w:t>60 días calendario</w:t>
            </w: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 xml:space="preserve"> adicionales a la vigencia del contrato, por un monto equivalente a la diferencia entre el ochenta y cinco por ciento (85%) del Precio Referencial y el valor de su propuesta económica.</w:t>
            </w:r>
          </w:p>
          <w:p w:rsidR="001C05E5" w:rsidRPr="003F115B" w:rsidRDefault="001C05E5" w:rsidP="001C05E5">
            <w:pPr>
              <w:autoSpaceDE w:val="0"/>
              <w:autoSpaceDN w:val="0"/>
              <w:adjustRightInd w:val="0"/>
              <w:jc w:val="both"/>
              <w:rPr>
                <w:rFonts w:ascii="Verdana" w:hAnsi="Verdana" w:cs="Vijaya"/>
                <w:sz w:val="16"/>
                <w:szCs w:val="16"/>
                <w:lang w:val="es-BO"/>
              </w:rPr>
            </w:pPr>
          </w:p>
        </w:tc>
      </w:tr>
    </w:tbl>
    <w:p w:rsidR="00012B1B" w:rsidRPr="002F6CB9" w:rsidRDefault="00012B1B" w:rsidP="000B1BCE">
      <w:pPr>
        <w:pStyle w:val="Prrafodelista"/>
        <w:spacing w:line="220" w:lineRule="atLeast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sectPr w:rsidR="00012B1B" w:rsidRPr="002F6CB9" w:rsidSect="001F7990">
      <w:headerReference w:type="default" r:id="rId8"/>
      <w:footerReference w:type="default" r:id="rId9"/>
      <w:pgSz w:w="12242" w:h="15842" w:code="1"/>
      <w:pgMar w:top="1418" w:right="1134" w:bottom="1418" w:left="1134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1F" w:rsidRDefault="004A191F">
      <w:r>
        <w:separator/>
      </w:r>
    </w:p>
  </w:endnote>
  <w:endnote w:type="continuationSeparator" w:id="0">
    <w:p w:rsidR="004A191F" w:rsidRDefault="004A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80"/>
      <w:gridCol w:w="3562"/>
      <w:gridCol w:w="3198"/>
    </w:tblGrid>
    <w:tr w:rsidR="002B7A60" w:rsidRPr="009A4B1A" w:rsidTr="000300B0">
      <w:trPr>
        <w:trHeight w:val="8"/>
        <w:jc w:val="center"/>
      </w:trPr>
      <w:tc>
        <w:tcPr>
          <w:tcW w:w="156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Pr="009A4B1A" w:rsidRDefault="002B7A60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2B7A60" w:rsidRPr="009A4B1A" w:rsidRDefault="002B7A6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Default="00007A39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Edson Gutierrez Vidal</w:t>
          </w:r>
        </w:p>
        <w:p w:rsidR="002B7A60" w:rsidRPr="00556B64" w:rsidRDefault="002B7A60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SUPERVISOR DE MANTENIMIENTO SISTEMA PRIMARIO</w:t>
          </w:r>
        </w:p>
      </w:tc>
      <w:tc>
        <w:tcPr>
          <w:tcW w:w="1810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Pablo Julio Villazon Gomez</w:t>
          </w:r>
        </w:p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>Ing. Ismael Hugo Cruz Hernandez</w:t>
          </w:r>
        </w:p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:rsidR="002B7A60" w:rsidRDefault="002B7A60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1F" w:rsidRDefault="004A191F">
      <w:r>
        <w:separator/>
      </w:r>
    </w:p>
  </w:footnote>
  <w:footnote w:type="continuationSeparator" w:id="0">
    <w:p w:rsidR="004A191F" w:rsidRDefault="004A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2"/>
      <w:gridCol w:w="5554"/>
      <w:gridCol w:w="2178"/>
    </w:tblGrid>
    <w:tr w:rsidR="00966D40" w:rsidRPr="00AD0053" w:rsidTr="00FC431B">
      <w:trPr>
        <w:trHeight w:val="416"/>
        <w:jc w:val="center"/>
      </w:trPr>
      <w:tc>
        <w:tcPr>
          <w:tcW w:w="1120" w:type="pct"/>
          <w:vMerge w:val="restart"/>
          <w:vAlign w:val="center"/>
        </w:tcPr>
        <w:p w:rsidR="00966D40" w:rsidRPr="00AD0053" w:rsidRDefault="00966D40" w:rsidP="00966D40">
          <w:pPr>
            <w:pStyle w:val="Encabezado"/>
            <w:jc w:val="center"/>
            <w:rPr>
              <w:rFonts w:ascii="Verdana" w:eastAsia="Arial Unicode MS" w:hAnsi="Verdana"/>
              <w:sz w:val="18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95885</wp:posOffset>
                </wp:positionV>
                <wp:extent cx="860425" cy="423545"/>
                <wp:effectExtent l="0" t="0" r="0" b="0"/>
                <wp:wrapNone/>
                <wp:docPr id="1" name="Imagen 2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7" w:type="pct"/>
          <w:vMerge w:val="restart"/>
          <w:vAlign w:val="center"/>
        </w:tcPr>
        <w:p w:rsidR="00966D40" w:rsidRPr="007E1D97" w:rsidRDefault="00966D40" w:rsidP="00966D40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 w:rsidRPr="007E1D97">
            <w:rPr>
              <w:rFonts w:ascii="Verdana" w:hAnsi="Verdana" w:cs="Calibri"/>
              <w:b/>
              <w:sz w:val="18"/>
              <w:szCs w:val="18"/>
            </w:rPr>
            <w:t xml:space="preserve">ESPECIFICACIONES TÉCNICAS </w:t>
          </w:r>
        </w:p>
        <w:p w:rsidR="00966D40" w:rsidRPr="00AD0053" w:rsidRDefault="00966D40" w:rsidP="00966D40">
          <w:pPr>
            <w:jc w:val="center"/>
            <w:rPr>
              <w:rFonts w:ascii="Verdana" w:eastAsia="Arial Unicode MS" w:hAnsi="Verdana" w:cs="Calibri"/>
              <w:color w:val="FF0000"/>
              <w:sz w:val="18"/>
              <w:szCs w:val="20"/>
              <w:lang w:val="es-MX"/>
            </w:rPr>
          </w:pPr>
          <w:r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>GARANTIAS FINANCIERAS</w:t>
          </w:r>
        </w:p>
      </w:tc>
      <w:tc>
        <w:tcPr>
          <w:tcW w:w="1093" w:type="pct"/>
          <w:vAlign w:val="center"/>
        </w:tcPr>
        <w:p w:rsidR="00966D40" w:rsidRPr="00E76369" w:rsidRDefault="00966D40" w:rsidP="00966D40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967D24"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 xml:space="preserve">ANEXO </w:t>
          </w:r>
          <w:r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>8</w:t>
          </w:r>
        </w:p>
      </w:tc>
    </w:tr>
    <w:tr w:rsidR="00966D40" w:rsidRPr="00AD0053" w:rsidTr="00FC431B">
      <w:trPr>
        <w:trHeight w:val="523"/>
        <w:jc w:val="center"/>
      </w:trPr>
      <w:tc>
        <w:tcPr>
          <w:tcW w:w="1120" w:type="pct"/>
          <w:vMerge/>
          <w:vAlign w:val="center"/>
        </w:tcPr>
        <w:p w:rsidR="00966D40" w:rsidRPr="00AD0053" w:rsidRDefault="00966D40" w:rsidP="00966D40">
          <w:pPr>
            <w:pStyle w:val="Encabezado"/>
            <w:jc w:val="center"/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</w:pPr>
        </w:p>
      </w:tc>
      <w:tc>
        <w:tcPr>
          <w:tcW w:w="2787" w:type="pct"/>
          <w:vMerge/>
          <w:vAlign w:val="center"/>
        </w:tcPr>
        <w:p w:rsidR="00966D40" w:rsidRPr="007E1D97" w:rsidRDefault="00966D40" w:rsidP="00966D40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</w:p>
      </w:tc>
      <w:tc>
        <w:tcPr>
          <w:tcW w:w="1093" w:type="pct"/>
          <w:vAlign w:val="center"/>
        </w:tcPr>
        <w:p w:rsidR="00966D40" w:rsidRPr="00E76369" w:rsidRDefault="00966D40" w:rsidP="00966D40">
          <w:pPr>
            <w:pStyle w:val="Encabezado"/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</w:pPr>
          <w:r w:rsidRPr="00E76369"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  <w:t>Hoja:</w:t>
          </w:r>
        </w:p>
        <w:p w:rsidR="00966D40" w:rsidRPr="00E76369" w:rsidRDefault="00966D40" w:rsidP="00966D40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PAGE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4135F8">
            <w:rPr>
              <w:rStyle w:val="Nmerodepgina"/>
              <w:rFonts w:ascii="Verdana" w:hAnsi="Verdana" w:cs="Vijaya"/>
              <w:noProof/>
              <w:sz w:val="16"/>
              <w:szCs w:val="22"/>
            </w:rPr>
            <w:t>2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t xml:space="preserve"> de 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NUMPAGES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4135F8">
            <w:rPr>
              <w:rStyle w:val="Nmerodepgina"/>
              <w:rFonts w:ascii="Verdana" w:hAnsi="Verdana" w:cs="Vijaya"/>
              <w:noProof/>
              <w:sz w:val="16"/>
              <w:szCs w:val="22"/>
            </w:rPr>
            <w:t>2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</w:p>
      </w:tc>
    </w:tr>
  </w:tbl>
  <w:p w:rsidR="00966D40" w:rsidRDefault="00966D40" w:rsidP="00F323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6B8"/>
    <w:multiLevelType w:val="hybridMultilevel"/>
    <w:tmpl w:val="E1FC32AE"/>
    <w:lvl w:ilvl="0" w:tplc="58182A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5C98"/>
    <w:multiLevelType w:val="hybridMultilevel"/>
    <w:tmpl w:val="08504A5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123539"/>
    <w:multiLevelType w:val="hybridMultilevel"/>
    <w:tmpl w:val="13DC3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A4BA0"/>
    <w:multiLevelType w:val="hybridMultilevel"/>
    <w:tmpl w:val="158E55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D2A63"/>
    <w:multiLevelType w:val="hybridMultilevel"/>
    <w:tmpl w:val="524471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446FCE"/>
    <w:multiLevelType w:val="hybridMultilevel"/>
    <w:tmpl w:val="F74EED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F2551"/>
    <w:multiLevelType w:val="hybridMultilevel"/>
    <w:tmpl w:val="8CA4D4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3A1"/>
    <w:multiLevelType w:val="hybridMultilevel"/>
    <w:tmpl w:val="5CCA2B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57C8"/>
    <w:multiLevelType w:val="hybridMultilevel"/>
    <w:tmpl w:val="CD001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6256A"/>
    <w:multiLevelType w:val="multilevel"/>
    <w:tmpl w:val="10BE9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30321873"/>
    <w:multiLevelType w:val="hybridMultilevel"/>
    <w:tmpl w:val="6C0EC2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4D6CDA"/>
    <w:multiLevelType w:val="multilevel"/>
    <w:tmpl w:val="2EB4F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3362801"/>
    <w:multiLevelType w:val="hybridMultilevel"/>
    <w:tmpl w:val="461AD4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84F1A"/>
    <w:multiLevelType w:val="hybridMultilevel"/>
    <w:tmpl w:val="9D8EC6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92B54"/>
    <w:multiLevelType w:val="hybridMultilevel"/>
    <w:tmpl w:val="FA9CD8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35994"/>
    <w:multiLevelType w:val="hybridMultilevel"/>
    <w:tmpl w:val="83C6A9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F37CF"/>
    <w:multiLevelType w:val="hybridMultilevel"/>
    <w:tmpl w:val="6EFE6EFC"/>
    <w:lvl w:ilvl="0" w:tplc="2E1678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06CC6"/>
    <w:multiLevelType w:val="hybridMultilevel"/>
    <w:tmpl w:val="53F2F5C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7534462"/>
    <w:multiLevelType w:val="hybridMultilevel"/>
    <w:tmpl w:val="71460A8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33966"/>
    <w:multiLevelType w:val="hybridMultilevel"/>
    <w:tmpl w:val="611E55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44DFC"/>
    <w:multiLevelType w:val="hybridMultilevel"/>
    <w:tmpl w:val="0BF878F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75E42"/>
    <w:multiLevelType w:val="hybridMultilevel"/>
    <w:tmpl w:val="AF7256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85126B4"/>
    <w:multiLevelType w:val="hybridMultilevel"/>
    <w:tmpl w:val="F2CAEB4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BC23055"/>
    <w:multiLevelType w:val="hybridMultilevel"/>
    <w:tmpl w:val="D64C9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A22F31"/>
    <w:multiLevelType w:val="hybridMultilevel"/>
    <w:tmpl w:val="84C2939C"/>
    <w:lvl w:ilvl="0" w:tplc="656429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1">
    <w:nsid w:val="7A893FC1"/>
    <w:multiLevelType w:val="hybridMultilevel"/>
    <w:tmpl w:val="05F01978"/>
    <w:lvl w:ilvl="0" w:tplc="E5E2C2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23"/>
  </w:num>
  <w:num w:numId="5">
    <w:abstractNumId w:val="5"/>
  </w:num>
  <w:num w:numId="6">
    <w:abstractNumId w:val="25"/>
  </w:num>
  <w:num w:numId="7">
    <w:abstractNumId w:val="19"/>
  </w:num>
  <w:num w:numId="8">
    <w:abstractNumId w:val="16"/>
  </w:num>
  <w:num w:numId="9">
    <w:abstractNumId w:val="29"/>
  </w:num>
  <w:num w:numId="10">
    <w:abstractNumId w:val="1"/>
  </w:num>
  <w:num w:numId="11">
    <w:abstractNumId w:val="27"/>
  </w:num>
  <w:num w:numId="12">
    <w:abstractNumId w:val="26"/>
  </w:num>
  <w:num w:numId="13">
    <w:abstractNumId w:val="20"/>
  </w:num>
  <w:num w:numId="14">
    <w:abstractNumId w:val="14"/>
  </w:num>
  <w:num w:numId="15">
    <w:abstractNumId w:val="17"/>
  </w:num>
  <w:num w:numId="16">
    <w:abstractNumId w:val="28"/>
  </w:num>
  <w:num w:numId="17">
    <w:abstractNumId w:val="15"/>
  </w:num>
  <w:num w:numId="18">
    <w:abstractNumId w:val="8"/>
  </w:num>
  <w:num w:numId="19">
    <w:abstractNumId w:val="13"/>
  </w:num>
  <w:num w:numId="20">
    <w:abstractNumId w:val="7"/>
  </w:num>
  <w:num w:numId="21">
    <w:abstractNumId w:val="22"/>
  </w:num>
  <w:num w:numId="22">
    <w:abstractNumId w:val="24"/>
  </w:num>
  <w:num w:numId="23">
    <w:abstractNumId w:val="12"/>
  </w:num>
  <w:num w:numId="24">
    <w:abstractNumId w:val="6"/>
  </w:num>
  <w:num w:numId="25">
    <w:abstractNumId w:val="21"/>
  </w:num>
  <w:num w:numId="26">
    <w:abstractNumId w:val="3"/>
  </w:num>
  <w:num w:numId="27">
    <w:abstractNumId w:val="11"/>
  </w:num>
  <w:num w:numId="28">
    <w:abstractNumId w:val="2"/>
  </w:num>
  <w:num w:numId="29">
    <w:abstractNumId w:val="9"/>
  </w:num>
  <w:num w:numId="30">
    <w:abstractNumId w:val="0"/>
  </w:num>
  <w:num w:numId="31">
    <w:abstractNumId w:val="4"/>
  </w:num>
  <w:num w:numId="3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07A39"/>
    <w:rsid w:val="0001037A"/>
    <w:rsid w:val="0001216D"/>
    <w:rsid w:val="000126B2"/>
    <w:rsid w:val="00012B1B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31F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67FB2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887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1BCE"/>
    <w:rsid w:val="000B2E6F"/>
    <w:rsid w:val="000B3F27"/>
    <w:rsid w:val="000B4BDA"/>
    <w:rsid w:val="000B4FE9"/>
    <w:rsid w:val="000B5CC8"/>
    <w:rsid w:val="000C0699"/>
    <w:rsid w:val="000C0782"/>
    <w:rsid w:val="000C0887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9B9"/>
    <w:rsid w:val="000F6CE3"/>
    <w:rsid w:val="000F74D6"/>
    <w:rsid w:val="001010C5"/>
    <w:rsid w:val="0010168E"/>
    <w:rsid w:val="00105937"/>
    <w:rsid w:val="00107547"/>
    <w:rsid w:val="00110A6B"/>
    <w:rsid w:val="0011105D"/>
    <w:rsid w:val="00111947"/>
    <w:rsid w:val="00113A9C"/>
    <w:rsid w:val="00114EF1"/>
    <w:rsid w:val="001155D6"/>
    <w:rsid w:val="00115B53"/>
    <w:rsid w:val="001161DE"/>
    <w:rsid w:val="001175A4"/>
    <w:rsid w:val="0011791F"/>
    <w:rsid w:val="00120037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4E1D"/>
    <w:rsid w:val="001354A4"/>
    <w:rsid w:val="0013639D"/>
    <w:rsid w:val="001370D9"/>
    <w:rsid w:val="0014169B"/>
    <w:rsid w:val="0014311F"/>
    <w:rsid w:val="00144DAD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3C1B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4D2B"/>
    <w:rsid w:val="001B61BB"/>
    <w:rsid w:val="001B6606"/>
    <w:rsid w:val="001B7285"/>
    <w:rsid w:val="001B7EB0"/>
    <w:rsid w:val="001C05E5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CFC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1F7990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3ECB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083A"/>
    <w:rsid w:val="002B21A9"/>
    <w:rsid w:val="002B2259"/>
    <w:rsid w:val="002B2731"/>
    <w:rsid w:val="002B2CCF"/>
    <w:rsid w:val="002B34F5"/>
    <w:rsid w:val="002B48D1"/>
    <w:rsid w:val="002B6B1A"/>
    <w:rsid w:val="002B76C3"/>
    <w:rsid w:val="002B7701"/>
    <w:rsid w:val="002B7A60"/>
    <w:rsid w:val="002B7AE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2E03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2F6CB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115B"/>
    <w:rsid w:val="003F21EF"/>
    <w:rsid w:val="003F2292"/>
    <w:rsid w:val="003F32E5"/>
    <w:rsid w:val="003F4742"/>
    <w:rsid w:val="003F6342"/>
    <w:rsid w:val="0040077A"/>
    <w:rsid w:val="00402D4F"/>
    <w:rsid w:val="004049F5"/>
    <w:rsid w:val="00405B4A"/>
    <w:rsid w:val="0040674C"/>
    <w:rsid w:val="00406A3C"/>
    <w:rsid w:val="004079EE"/>
    <w:rsid w:val="00410632"/>
    <w:rsid w:val="004130DC"/>
    <w:rsid w:val="004135F8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1613"/>
    <w:rsid w:val="00461724"/>
    <w:rsid w:val="00461FA0"/>
    <w:rsid w:val="004620CB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91F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EA5"/>
    <w:rsid w:val="00525F17"/>
    <w:rsid w:val="00526C14"/>
    <w:rsid w:val="0053075D"/>
    <w:rsid w:val="0053110C"/>
    <w:rsid w:val="00532108"/>
    <w:rsid w:val="00532A5E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3B93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B41"/>
    <w:rsid w:val="005A4473"/>
    <w:rsid w:val="005A4D0E"/>
    <w:rsid w:val="005A5B10"/>
    <w:rsid w:val="005A6DF5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0C4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5D0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3E6"/>
    <w:rsid w:val="005F1BF7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2780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7EAC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453F"/>
    <w:rsid w:val="007453BD"/>
    <w:rsid w:val="007466B2"/>
    <w:rsid w:val="00746B1A"/>
    <w:rsid w:val="00747ABC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769"/>
    <w:rsid w:val="00775DB4"/>
    <w:rsid w:val="00777674"/>
    <w:rsid w:val="00777F0A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C7906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1D97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8E6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205E"/>
    <w:rsid w:val="008A3667"/>
    <w:rsid w:val="008A482C"/>
    <w:rsid w:val="008A5D54"/>
    <w:rsid w:val="008A65AF"/>
    <w:rsid w:val="008A6DA6"/>
    <w:rsid w:val="008B178B"/>
    <w:rsid w:val="008B2B6C"/>
    <w:rsid w:val="008B3B29"/>
    <w:rsid w:val="008B3F54"/>
    <w:rsid w:val="008B3F61"/>
    <w:rsid w:val="008B4F8E"/>
    <w:rsid w:val="008B54DF"/>
    <w:rsid w:val="008B6686"/>
    <w:rsid w:val="008B7690"/>
    <w:rsid w:val="008C024F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289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2BAD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04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D40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7343"/>
    <w:rsid w:val="009C1739"/>
    <w:rsid w:val="009C1B91"/>
    <w:rsid w:val="009C3FE3"/>
    <w:rsid w:val="009C539D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0E1D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653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8F5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03F6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1B72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0FBD"/>
    <w:rsid w:val="00BE4BD3"/>
    <w:rsid w:val="00BE539E"/>
    <w:rsid w:val="00BE6BF3"/>
    <w:rsid w:val="00BF031E"/>
    <w:rsid w:val="00BF0D8B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2DF5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6919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8F8"/>
    <w:rsid w:val="00CA1B87"/>
    <w:rsid w:val="00CA3647"/>
    <w:rsid w:val="00CA4C69"/>
    <w:rsid w:val="00CA63C8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164"/>
    <w:rsid w:val="00D024EB"/>
    <w:rsid w:val="00D03B3A"/>
    <w:rsid w:val="00D03F0F"/>
    <w:rsid w:val="00D04877"/>
    <w:rsid w:val="00D04CCB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01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1AE8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AE9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272D"/>
    <w:rsid w:val="00DD4AE7"/>
    <w:rsid w:val="00DD4B3D"/>
    <w:rsid w:val="00DD571F"/>
    <w:rsid w:val="00DD5DCA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EB9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165EA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3BB3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6C2"/>
    <w:rsid w:val="00E86A6C"/>
    <w:rsid w:val="00E90AE3"/>
    <w:rsid w:val="00E91F36"/>
    <w:rsid w:val="00E92B19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369E"/>
    <w:rsid w:val="00EB41A7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2463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39A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5031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5F94"/>
    <w:rsid w:val="00FA72A4"/>
    <w:rsid w:val="00FA73A4"/>
    <w:rsid w:val="00FA77AD"/>
    <w:rsid w:val="00FB00E7"/>
    <w:rsid w:val="00FB1342"/>
    <w:rsid w:val="00FB1FB9"/>
    <w:rsid w:val="00FB3311"/>
    <w:rsid w:val="00FB3D2A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8F34A2FD-020E-450E-91E0-C4E2270D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0B1BCE"/>
    <w:pPr>
      <w:tabs>
        <w:tab w:val="left" w:pos="480"/>
        <w:tab w:val="left" w:pos="1200"/>
        <w:tab w:val="right" w:leader="dot" w:pos="9113"/>
      </w:tabs>
      <w:spacing w:before="120"/>
    </w:pPr>
    <w:rPr>
      <w:rFonts w:ascii="Verdana" w:hAnsi="Verdana" w:cs="Vijaya"/>
      <w:bCs/>
      <w:iCs/>
      <w:noProof/>
      <w:sz w:val="18"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D2E03"/>
    <w:pPr>
      <w:spacing w:before="240" w:after="60"/>
      <w:jc w:val="left"/>
      <w:outlineLvl w:val="9"/>
    </w:pPr>
    <w:rPr>
      <w:rFonts w:ascii="Calibri Light" w:hAnsi="Calibri Light"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4DDA-B5FD-4EA9-B1D8-1ADD7291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Edson  Gutierrez Vidal</cp:lastModifiedBy>
  <cp:revision>7</cp:revision>
  <cp:lastPrinted>2013-09-13T19:33:00Z</cp:lastPrinted>
  <dcterms:created xsi:type="dcterms:W3CDTF">2017-05-16T21:30:00Z</dcterms:created>
  <dcterms:modified xsi:type="dcterms:W3CDTF">2017-05-17T21:25:00Z</dcterms:modified>
</cp:coreProperties>
</file>