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4"/>
      </w:tblGrid>
      <w:tr w:rsidR="003D29A7" w:rsidRPr="00BC5727" w:rsidTr="003949F4">
        <w:tc>
          <w:tcPr>
            <w:tcW w:w="9544" w:type="dxa"/>
            <w:shd w:val="clear" w:color="auto" w:fill="8DB3E2"/>
            <w:vAlign w:val="center"/>
          </w:tcPr>
          <w:p w:rsidR="003D29A7" w:rsidRPr="00BC5727" w:rsidRDefault="003D29A7" w:rsidP="00A6215A">
            <w:pPr>
              <w:rPr>
                <w:rFonts w:ascii="Cambria" w:hAnsi="Cambria"/>
                <w:b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b/>
                <w:sz w:val="22"/>
                <w:szCs w:val="22"/>
                <w:lang w:val="es-ES" w:eastAsia="es-ES"/>
              </w:rPr>
              <w:t>1.- GARANTIAS FINANCIERAS</w:t>
            </w:r>
          </w:p>
        </w:tc>
      </w:tr>
      <w:tr w:rsidR="005829D9" w:rsidRPr="00BC5727" w:rsidTr="003949F4">
        <w:tc>
          <w:tcPr>
            <w:tcW w:w="9544" w:type="dxa"/>
            <w:shd w:val="clear" w:color="auto" w:fill="8DB3E2"/>
            <w:vAlign w:val="center"/>
          </w:tcPr>
          <w:p w:rsidR="005829D9" w:rsidRPr="00BC5727" w:rsidRDefault="00A6215A" w:rsidP="00A6215A">
            <w:pPr>
              <w:rPr>
                <w:rFonts w:ascii="Cambria" w:hAnsi="Cambria"/>
                <w:b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b/>
                <w:sz w:val="22"/>
                <w:szCs w:val="22"/>
                <w:lang w:val="es-ES" w:eastAsia="es-ES"/>
              </w:rPr>
              <w:t>GARANTÍA DE SERIEDAD DE PROPUESTA</w:t>
            </w:r>
          </w:p>
        </w:tc>
      </w:tr>
      <w:tr w:rsidR="005829D9" w:rsidRPr="00BC5727" w:rsidTr="00D1136B">
        <w:tc>
          <w:tcPr>
            <w:tcW w:w="9544" w:type="dxa"/>
            <w:shd w:val="clear" w:color="auto" w:fill="auto"/>
            <w:vAlign w:val="center"/>
          </w:tcPr>
          <w:p w:rsidR="00A6215A" w:rsidRPr="00BC5727" w:rsidRDefault="00AA124C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A elección de la empresa </w:t>
            </w:r>
            <w:r w:rsidR="003F6388">
              <w:rPr>
                <w:rFonts w:ascii="Cambria" w:hAnsi="Cambria"/>
                <w:sz w:val="22"/>
                <w:szCs w:val="22"/>
                <w:lang w:val="es-ES" w:eastAsia="es-ES"/>
              </w:rPr>
              <w:t>proponente</w:t>
            </w:r>
            <w:r w:rsid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 </w:t>
            </w: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podrá optar por uno de los siguientes instrumentos financieros: </w:t>
            </w:r>
          </w:p>
          <w:p w:rsidR="00A6215A" w:rsidRPr="00BC5727" w:rsidRDefault="00A6215A" w:rsidP="00A6215A">
            <w:pPr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  <w:p w:rsidR="00664CD5" w:rsidRPr="00BC5727" w:rsidRDefault="00664CD5" w:rsidP="00664CD5">
            <w:pPr>
              <w:spacing w:after="240"/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Boleta de Garantía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</w:rPr>
              <w:t>,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emitida por una Entidad de Intermediación Financiera (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del E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stado Plurinacional de Bolivia </w:t>
            </w:r>
            <w:r w:rsidRPr="00BC5727">
              <w:rPr>
                <w:rFonts w:ascii="Cambria" w:hAnsi="Cambria"/>
                <w:sz w:val="22"/>
                <w:szCs w:val="22"/>
              </w:rPr>
              <w:t>con estructura de alcance a nivel nacional, registrada, autorizada y bajo el control de la Autoridad de Supervisión del Sistema Financiero-ASFI,  a la orden/a favor de Yacimientos Petrolíferos Fiscales Bolivianos / YPFB, con las características expresas de renovable, irrevocable y de ejecuc</w:t>
            </w:r>
            <w:r w:rsidR="000E06B7" w:rsidRPr="00BC5727">
              <w:rPr>
                <w:rFonts w:ascii="Cambria" w:hAnsi="Cambria"/>
                <w:sz w:val="22"/>
                <w:szCs w:val="22"/>
              </w:rPr>
              <w:t xml:space="preserve">ión inmediata con vigencia de </w:t>
            </w:r>
            <w:r w:rsidR="00BC5727">
              <w:rPr>
                <w:rFonts w:ascii="Cambria" w:hAnsi="Cambria"/>
                <w:sz w:val="22"/>
                <w:szCs w:val="22"/>
              </w:rPr>
              <w:t>90</w:t>
            </w:r>
            <w:r w:rsidRPr="00BC5727">
              <w:rPr>
                <w:rFonts w:ascii="Cambria" w:hAnsi="Cambria"/>
                <w:sz w:val="22"/>
                <w:szCs w:val="22"/>
              </w:rPr>
              <w:t>  días calendario computables a partir de la fecha de Presentación de Propuestas, por un monto equivalente de  al menos 1 % del valor total de la propuesta económica.</w:t>
            </w: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Garantía a Primer Requerimiento</w:t>
            </w:r>
            <w:r w:rsidRPr="00BC5727">
              <w:rPr>
                <w:rFonts w:ascii="Cambria" w:hAnsi="Cambria"/>
                <w:sz w:val="22"/>
                <w:szCs w:val="22"/>
              </w:rPr>
              <w:t>, emitida por una Entidad de Intermediación Financiera (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>, registrada, autorizada y bajo el control de la Autoridad de Supervisión del Sistema Financiero-ASFI,  a la orden/a favor de Yacimientos Petrolíferos Fiscales Bolivianos / YPFB, con las características expresas de renovable, irrevocable y de ejecución a primer</w:t>
            </w:r>
            <w:r w:rsidR="000E06B7" w:rsidRPr="00BC5727">
              <w:rPr>
                <w:rFonts w:ascii="Cambria" w:hAnsi="Cambria"/>
                <w:sz w:val="22"/>
                <w:szCs w:val="22"/>
              </w:rPr>
              <w:t xml:space="preserve"> requerimiento con vigencia de </w:t>
            </w:r>
            <w:r w:rsidR="00BC5727">
              <w:rPr>
                <w:rFonts w:ascii="Cambria" w:hAnsi="Cambria"/>
                <w:sz w:val="22"/>
                <w:szCs w:val="22"/>
              </w:rPr>
              <w:t>90</w:t>
            </w:r>
            <w:r w:rsidRPr="00BC5727">
              <w:rPr>
                <w:rFonts w:ascii="Cambria" w:hAnsi="Cambria"/>
                <w:sz w:val="22"/>
                <w:szCs w:val="22"/>
              </w:rPr>
              <w:t>  días calendario computables a partir de la fecha de Presentación de Propuestas, por un monto equivalente de  al menos 1 % del valor total la propuesta económica.</w:t>
            </w: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Póliza de caución a Primer requerimiento para Entidades </w:t>
            </w:r>
            <w:r w:rsidR="003F6388"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Públicas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, emitida por una empresa aseguradora del Estado Plurinacional de Bolivia 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>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>, registrada, autorizada y bajo el control de la Autoridad de Fiscalización y Control de Pensiones y Seguros a la orden/a favor de Yacimientos Petrolíferos Fiscales Bolivianos / YPFB, con las características expresas de renovable, irrevocable y de ejecución a primer requeri</w:t>
            </w:r>
            <w:r w:rsidR="000E06B7" w:rsidRPr="00BC5727">
              <w:rPr>
                <w:rFonts w:ascii="Cambria" w:hAnsi="Cambria"/>
                <w:sz w:val="22"/>
                <w:szCs w:val="22"/>
              </w:rPr>
              <w:t xml:space="preserve">miento con vigencia de </w:t>
            </w:r>
            <w:r w:rsidR="00BC5727">
              <w:rPr>
                <w:rFonts w:ascii="Cambria" w:hAnsi="Cambria"/>
                <w:sz w:val="22"/>
                <w:szCs w:val="22"/>
              </w:rPr>
              <w:t>90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días calendario computables a partir de la fecha de Presentación de Propuestas, por un monto equivalente de  al menos  1 % del valor total de la propuesta económica.</w:t>
            </w:r>
          </w:p>
          <w:p w:rsidR="005E449A" w:rsidRPr="00BC5727" w:rsidRDefault="005E449A" w:rsidP="00BC5727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</w:tc>
      </w:tr>
      <w:tr w:rsidR="005829D9" w:rsidRPr="00BC5727" w:rsidTr="003949F4">
        <w:tc>
          <w:tcPr>
            <w:tcW w:w="9544" w:type="dxa"/>
            <w:shd w:val="clear" w:color="auto" w:fill="8DB3E2"/>
            <w:vAlign w:val="center"/>
          </w:tcPr>
          <w:p w:rsidR="005829D9" w:rsidRPr="00BC5727" w:rsidRDefault="00A6215A" w:rsidP="00BC5727">
            <w:pPr>
              <w:rPr>
                <w:rFonts w:ascii="Cambria" w:hAnsi="Cambria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b/>
                <w:sz w:val="22"/>
                <w:szCs w:val="22"/>
                <w:lang w:val="es-ES" w:eastAsia="es-ES"/>
              </w:rPr>
              <w:t>GARANTÍA DE CORRECTA INVERSIÓN DE ANTICIPO</w:t>
            </w: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 </w:t>
            </w:r>
          </w:p>
        </w:tc>
      </w:tr>
      <w:tr w:rsidR="005829D9" w:rsidRPr="00BC5727" w:rsidTr="00D1136B">
        <w:tc>
          <w:tcPr>
            <w:tcW w:w="9544" w:type="dxa"/>
            <w:shd w:val="clear" w:color="auto" w:fill="auto"/>
            <w:vAlign w:val="center"/>
          </w:tcPr>
          <w:p w:rsidR="008E7674" w:rsidRPr="00BC5727" w:rsidRDefault="008E7674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A elección de la empresa </w:t>
            </w:r>
            <w:r w:rsidR="003F6388">
              <w:rPr>
                <w:rFonts w:ascii="Cambria" w:hAnsi="Cambria"/>
                <w:sz w:val="22"/>
                <w:szCs w:val="22"/>
                <w:lang w:val="es-ES" w:eastAsia="es-ES"/>
              </w:rPr>
              <w:t>adjudicada</w:t>
            </w: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 podrá optar por uno de los siguientes instrumentos financieros: </w:t>
            </w:r>
          </w:p>
          <w:p w:rsidR="000E06B7" w:rsidRPr="00BC5727" w:rsidRDefault="000E06B7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Boleta de Garantía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, emitida por una Entidad de Intermediación Financiera 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(Bancaria)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>, registrada, autorizada y bajo el control de la Autoridad de Supervisión del Sistema Financiero – ASFI, a la orden/a favor de Yacimientos Petrolíferos Fiscales Bolivianos / YPFB, con características expresas de renovable, irrevocable y de ejecu</w:t>
            </w:r>
            <w:r w:rsidR="000E06B7" w:rsidRPr="00BC5727">
              <w:rPr>
                <w:rFonts w:ascii="Cambria" w:hAnsi="Cambria"/>
                <w:sz w:val="22"/>
                <w:szCs w:val="22"/>
              </w:rPr>
              <w:t xml:space="preserve">ción inmediata con vigencia </w:t>
            </w:r>
            <w:r w:rsidR="00BC5727">
              <w:rPr>
                <w:rFonts w:ascii="Cambria" w:hAnsi="Cambria"/>
                <w:sz w:val="22"/>
                <w:szCs w:val="22"/>
              </w:rPr>
              <w:t>de 90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días calendario, computables a partir de la fecha de su emisión,  por un monto equivalente al cien por ciento (100%) del anticipo otorgado.</w:t>
            </w: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  <w:lang w:eastAsia="es-ES"/>
              </w:rPr>
            </w:pP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Garantía a Primer Requerimiento</w:t>
            </w:r>
            <w:r w:rsidRPr="00BC5727">
              <w:rPr>
                <w:rFonts w:ascii="Cambria" w:hAnsi="Cambria"/>
                <w:sz w:val="22"/>
                <w:szCs w:val="22"/>
              </w:rPr>
              <w:t>, emitida por una Entidad de Intermediación Financiera (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, registrada, autorizada y bajo el control de la Autoridad de Supervisión del Sistema Financiero – ASFI, a la orden/a favor de Yacimientos Petrolíferos Fiscales Bolivianos / YPFB, con características expresas de renovable, irrevocable y de ejecución a primer requerimiento con vigencia  </w:t>
            </w:r>
            <w:r w:rsidR="00BC5727">
              <w:rPr>
                <w:rFonts w:ascii="Cambria" w:hAnsi="Cambria"/>
                <w:sz w:val="22"/>
                <w:szCs w:val="22"/>
              </w:rPr>
              <w:t>de 90</w:t>
            </w:r>
            <w:r w:rsidR="000E06B7" w:rsidRPr="00BC5727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días, </w:t>
            </w:r>
            <w:r w:rsidRPr="00BC5727">
              <w:rPr>
                <w:rFonts w:ascii="Cambria" w:hAnsi="Cambria"/>
                <w:sz w:val="22"/>
                <w:szCs w:val="22"/>
              </w:rPr>
              <w:lastRenderedPageBreak/>
              <w:t>computables a partir de la fecha de su emisión, por un monto equivalente al cien por ciento (100%) del anticipo otorgado.</w:t>
            </w:r>
          </w:p>
          <w:p w:rsidR="00A6215A" w:rsidRPr="00BC5727" w:rsidRDefault="00A6215A" w:rsidP="00BC5727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</w:tc>
      </w:tr>
      <w:tr w:rsidR="005829D9" w:rsidRPr="00BC5727" w:rsidTr="003949F4">
        <w:tc>
          <w:tcPr>
            <w:tcW w:w="9544" w:type="dxa"/>
            <w:shd w:val="clear" w:color="auto" w:fill="8DB3E2"/>
            <w:vAlign w:val="center"/>
          </w:tcPr>
          <w:p w:rsidR="005829D9" w:rsidRPr="00BC5727" w:rsidRDefault="00A6215A" w:rsidP="00A6215A">
            <w:pPr>
              <w:rPr>
                <w:rFonts w:ascii="Cambria" w:hAnsi="Cambria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b/>
                <w:sz w:val="22"/>
                <w:szCs w:val="22"/>
                <w:lang w:val="es-ES" w:eastAsia="es-ES"/>
              </w:rPr>
              <w:lastRenderedPageBreak/>
              <w:t>GARANTÍA DE CUMPLIMIENTO DE CONTRATO</w:t>
            </w:r>
          </w:p>
        </w:tc>
      </w:tr>
      <w:tr w:rsidR="005829D9" w:rsidRPr="00BC5727" w:rsidTr="00D1136B">
        <w:tc>
          <w:tcPr>
            <w:tcW w:w="9544" w:type="dxa"/>
            <w:shd w:val="clear" w:color="auto" w:fill="auto"/>
            <w:vAlign w:val="center"/>
          </w:tcPr>
          <w:p w:rsidR="008E7674" w:rsidRPr="00BC5727" w:rsidRDefault="008E7674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A elección de la empresa </w:t>
            </w:r>
            <w:r w:rsidR="003F6388">
              <w:rPr>
                <w:rFonts w:ascii="Cambria" w:hAnsi="Cambria"/>
                <w:sz w:val="22"/>
                <w:szCs w:val="22"/>
                <w:lang w:val="es-ES" w:eastAsia="es-ES"/>
              </w:rPr>
              <w:t>adjudicada</w:t>
            </w:r>
            <w:r w:rsid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 p</w:t>
            </w: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odrá optar por uno de los siguientes instrumentos financieros: </w:t>
            </w:r>
          </w:p>
          <w:p w:rsidR="000E06B7" w:rsidRPr="00BC5727" w:rsidRDefault="000E06B7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Boleta de Garantía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, emitida por una Entidad de Intermediación Financiera 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(Bancaria)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, registrada, autorizada y bajo el control de la Autoridad de Supervisión del Sistema Financiero-ASFI, a la orden/a favor de Yacimientos Petrolíferos Fiscales Bolivianos / YPFB, con características expresas de renovable, irrevocable y de ejecución inmediata con vigencia de 60  días calendario adicionales a la vigencia del contrato, por un monto equivalente al 7% del valor total del contrato. </w:t>
            </w: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  <w:lang w:eastAsia="es-ES"/>
              </w:rPr>
            </w:pP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Garantía a Primer Requerimiento</w:t>
            </w:r>
            <w:bookmarkStart w:id="0" w:name="_GoBack"/>
            <w:bookmarkEnd w:id="0"/>
            <w:r w:rsidRPr="00BC5727">
              <w:rPr>
                <w:rFonts w:ascii="Cambria" w:hAnsi="Cambria"/>
                <w:sz w:val="22"/>
                <w:szCs w:val="22"/>
              </w:rPr>
              <w:t>, emitida por una Entidad de Intermediación Financiera (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  <w:lang w:eastAsia="es-ES"/>
              </w:rPr>
            </w:pPr>
          </w:p>
          <w:p w:rsidR="00664CD5" w:rsidRPr="00BC5727" w:rsidRDefault="000E06B7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Póliza</w:t>
            </w:r>
            <w:r w:rsidR="00664CD5"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 xml:space="preserve"> de caución a Primer requerimiento para Entidades 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Públicas</w:t>
            </w:r>
            <w:r w:rsidR="00664CD5" w:rsidRPr="00BC5727">
              <w:rPr>
                <w:rFonts w:ascii="Cambria" w:hAnsi="Cambria"/>
                <w:sz w:val="22"/>
                <w:szCs w:val="22"/>
              </w:rPr>
              <w:t>, emitida por una empresa aseguradora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="00664CD5" w:rsidRPr="00BC5727">
              <w:rPr>
                <w:rFonts w:ascii="Cambria" w:hAnsi="Cambria"/>
                <w:sz w:val="22"/>
                <w:szCs w:val="22"/>
              </w:rPr>
              <w:t>, registrada, autorizada y bajo el control de la Autoridad de Fiscalización y Control de Pensiones y Seguros a la orden/a favor de Yacimientos Petrolíferos Fiscales Bolivianos / YPFB, con las características expresas de renovable, irrevocable y de ejecución a primer requerimiento con vigencia de 60 días calendario adicionales a la vigencia del contrato, por un monto equivalente al 7% del valor total del contrato.</w:t>
            </w:r>
          </w:p>
          <w:p w:rsidR="00BC5727" w:rsidRPr="00BC5727" w:rsidRDefault="00BC5727" w:rsidP="00CA5252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</w:tc>
      </w:tr>
      <w:tr w:rsidR="005829D9" w:rsidRPr="00BC5727" w:rsidTr="003949F4">
        <w:tc>
          <w:tcPr>
            <w:tcW w:w="9544" w:type="dxa"/>
            <w:shd w:val="clear" w:color="auto" w:fill="8DB3E2"/>
            <w:vAlign w:val="center"/>
          </w:tcPr>
          <w:p w:rsidR="005829D9" w:rsidRPr="00BC5727" w:rsidRDefault="00A6215A" w:rsidP="00A6215A">
            <w:pPr>
              <w:rPr>
                <w:rFonts w:ascii="Cambria" w:hAnsi="Cambria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b/>
                <w:sz w:val="22"/>
                <w:szCs w:val="22"/>
                <w:lang w:val="es-ES" w:eastAsia="es-ES"/>
              </w:rPr>
              <w:t>GARANTÍA ADICIONAL A LA GARANTÍA DE CUMPLIMIENTO DE CONTRATO DE OBRAS</w:t>
            </w:r>
          </w:p>
        </w:tc>
      </w:tr>
      <w:tr w:rsidR="005829D9" w:rsidRPr="00BC5727" w:rsidTr="00D1136B">
        <w:tc>
          <w:tcPr>
            <w:tcW w:w="9544" w:type="dxa"/>
            <w:shd w:val="clear" w:color="auto" w:fill="auto"/>
            <w:vAlign w:val="center"/>
          </w:tcPr>
          <w:p w:rsidR="008E7674" w:rsidRPr="00BC5727" w:rsidRDefault="008E7674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A elección de la empresa </w:t>
            </w:r>
            <w:r w:rsidR="003F6388">
              <w:rPr>
                <w:rFonts w:ascii="Cambria" w:hAnsi="Cambria"/>
                <w:sz w:val="22"/>
                <w:szCs w:val="22"/>
                <w:lang w:val="es-ES" w:eastAsia="es-ES"/>
              </w:rPr>
              <w:t>adjudicada</w:t>
            </w:r>
            <w:r w:rsidRPr="00BC5727">
              <w:rPr>
                <w:rFonts w:ascii="Cambria" w:hAnsi="Cambria"/>
                <w:sz w:val="22"/>
                <w:szCs w:val="22"/>
                <w:lang w:val="es-ES" w:eastAsia="es-ES"/>
              </w:rPr>
              <w:t xml:space="preserve">  podrá optar por uno de los siguientes instrumentos financieros: </w:t>
            </w:r>
          </w:p>
          <w:p w:rsidR="005E449A" w:rsidRPr="00BC5727" w:rsidRDefault="005E449A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  <w:p w:rsidR="00664CD5" w:rsidRPr="00BC5727" w:rsidRDefault="00664CD5" w:rsidP="00664CD5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Boleta de Garantía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, emitida por una Entidad de Intermediación Financiera 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(Bancaria)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>, registrada, autorizada y bajo el control de la Autoridad de Supervisión del Sistema Financiero-ASFI, a la orden/a favor de Yacimientos Petrolíferos Fiscales Bolivianos / YPFB, con características expresas de renovable, irrevocable y de ejecución inmediata con vigencia  de 60 días calendario adicionales a la vigencia del contrato, por un monto equivalente  a la diferencia entre el ochenta y cinco por ciento (85%) del Precio Referencial y el valor de su propuesta económica</w:t>
            </w:r>
            <w:r w:rsidR="000E06B7" w:rsidRPr="00BC5727">
              <w:rPr>
                <w:rFonts w:ascii="Cambria" w:hAnsi="Cambria"/>
                <w:sz w:val="22"/>
                <w:szCs w:val="22"/>
              </w:rPr>
              <w:t xml:space="preserve">. </w:t>
            </w:r>
          </w:p>
          <w:p w:rsidR="005E449A" w:rsidRPr="00BC5727" w:rsidRDefault="005E449A" w:rsidP="008E7674">
            <w:pPr>
              <w:jc w:val="both"/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  <w:p w:rsidR="00664CD5" w:rsidRPr="00BC5727" w:rsidRDefault="00664CD5" w:rsidP="008E7674">
            <w:pPr>
              <w:jc w:val="both"/>
              <w:rPr>
                <w:rFonts w:ascii="Cambria" w:hAnsi="Cambria"/>
                <w:color w:val="FF0000"/>
                <w:sz w:val="22"/>
                <w:szCs w:val="22"/>
                <w:lang w:val="es-ES" w:eastAsia="es-ES"/>
              </w:rPr>
            </w:pP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Garantía a Primer Requerimiento</w:t>
            </w:r>
            <w:r w:rsidRPr="00BC5727">
              <w:rPr>
                <w:rFonts w:ascii="Cambria" w:hAnsi="Cambria"/>
                <w:sz w:val="22"/>
                <w:szCs w:val="22"/>
              </w:rPr>
              <w:t>, emitida por una Entidad de Intermediación Financiera (</w:t>
            </w:r>
            <w:r w:rsidRPr="00BC5727">
              <w:rPr>
                <w:rFonts w:ascii="Cambria" w:hAnsi="Cambria"/>
                <w:b/>
                <w:bCs/>
                <w:sz w:val="22"/>
                <w:szCs w:val="22"/>
                <w:u w:val="single"/>
              </w:rPr>
              <w:t>Bancaria)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 del Estado Plurinacional de Bolivia</w:t>
            </w:r>
            <w:r w:rsidR="000C047E" w:rsidRPr="00BC5727">
              <w:rPr>
                <w:rFonts w:ascii="Cambria" w:hAnsi="Cambria"/>
                <w:sz w:val="22"/>
                <w:szCs w:val="22"/>
              </w:rPr>
              <w:t xml:space="preserve"> con estructura de alcance a nivel nacional</w:t>
            </w:r>
            <w:r w:rsidRPr="00BC5727">
              <w:rPr>
                <w:rFonts w:ascii="Cambria" w:hAnsi="Cambria"/>
                <w:sz w:val="22"/>
                <w:szCs w:val="22"/>
              </w:rPr>
              <w:t xml:space="preserve">, registrada, autorizada y bajo el control de la Autoridad de Supervisión del Sistema Financiero-ASFI, a la orden/a favor de Yacimientos Petrolíferos Fiscales Bolivianos / YPFB, con características </w:t>
            </w:r>
            <w:r w:rsidRPr="00BC5727">
              <w:rPr>
                <w:rFonts w:ascii="Cambria" w:hAnsi="Cambria"/>
                <w:sz w:val="22"/>
                <w:szCs w:val="22"/>
              </w:rPr>
              <w:lastRenderedPageBreak/>
              <w:t>expresas de renovable, irrevocable y de ejecución a primer requerimiento con vigencia de 60 días calendario adicionales a la vigencia del contrato, por un monto equivalente  a la diferencia entre el ochenta y cinco por ciento (85%) del Precio Referencial y el valor de su propuesta económica.</w:t>
            </w:r>
            <w:r w:rsidR="000E06B7" w:rsidRPr="00BC5727">
              <w:rPr>
                <w:rFonts w:ascii="Cambria" w:hAnsi="Cambria"/>
                <w:color w:val="FF0000"/>
                <w:sz w:val="22"/>
                <w:szCs w:val="22"/>
                <w:lang w:val="es-ES" w:eastAsia="es-ES"/>
              </w:rPr>
              <w:tab/>
            </w:r>
            <w:r w:rsidR="000E06B7" w:rsidRPr="00BC5727">
              <w:rPr>
                <w:rFonts w:ascii="Cambria" w:hAnsi="Cambria"/>
                <w:color w:val="FF0000"/>
                <w:sz w:val="22"/>
                <w:szCs w:val="22"/>
                <w:lang w:val="es-ES" w:eastAsia="es-ES"/>
              </w:rPr>
              <w:tab/>
            </w:r>
            <w:r w:rsidR="000E06B7" w:rsidRPr="00BC5727">
              <w:rPr>
                <w:rFonts w:ascii="Cambria" w:hAnsi="Cambria"/>
                <w:color w:val="FF0000"/>
                <w:sz w:val="22"/>
                <w:szCs w:val="22"/>
                <w:lang w:val="es-ES" w:eastAsia="es-ES"/>
              </w:rPr>
              <w:tab/>
            </w:r>
          </w:p>
          <w:p w:rsidR="00A6215A" w:rsidRPr="00BC5727" w:rsidRDefault="00A6215A" w:rsidP="00A6215A">
            <w:pPr>
              <w:rPr>
                <w:rFonts w:ascii="Cambria" w:hAnsi="Cambria"/>
                <w:sz w:val="22"/>
                <w:szCs w:val="22"/>
                <w:lang w:val="es-ES" w:eastAsia="es-ES"/>
              </w:rPr>
            </w:pPr>
          </w:p>
        </w:tc>
      </w:tr>
    </w:tbl>
    <w:p w:rsidR="00470154" w:rsidRPr="00470154" w:rsidRDefault="00470154" w:rsidP="00D811C6">
      <w:pPr>
        <w:spacing w:line="360" w:lineRule="auto"/>
        <w:jc w:val="both"/>
        <w:rPr>
          <w:rFonts w:ascii="Arial" w:hAnsi="Arial"/>
          <w:sz w:val="16"/>
          <w:szCs w:val="16"/>
          <w:lang w:val="es-ES" w:eastAsia="es-ES"/>
        </w:rPr>
      </w:pPr>
    </w:p>
    <w:sectPr w:rsidR="00470154" w:rsidRPr="00470154" w:rsidSect="00881D49">
      <w:headerReference w:type="default" r:id="rId8"/>
      <w:footerReference w:type="even" r:id="rId9"/>
      <w:footerReference w:type="default" r:id="rId10"/>
      <w:pgSz w:w="12240" w:h="15840"/>
      <w:pgMar w:top="1418" w:right="1418" w:bottom="1418" w:left="1418" w:header="720" w:footer="720" w:gutter="0"/>
      <w:pgNumType w:chapStyle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EF0" w:rsidRDefault="00F50EF0">
      <w:r>
        <w:separator/>
      </w:r>
    </w:p>
  </w:endnote>
  <w:endnote w:type="continuationSeparator" w:id="0">
    <w:p w:rsidR="00F50EF0" w:rsidRDefault="00F5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1B5" w:rsidRDefault="002F61B5" w:rsidP="00CD3EA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61B5" w:rsidRDefault="002F61B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61B5" w:rsidRPr="000C4633" w:rsidRDefault="00EB1DA9" w:rsidP="00875B0E">
    <w:pPr>
      <w:pStyle w:val="Piedepgina"/>
      <w:jc w:val="center"/>
      <w:rPr>
        <w:rFonts w:ascii="Calibri" w:hAnsi="Calibri" w:cs="Calibri"/>
        <w:sz w:val="20"/>
        <w:szCs w:val="20"/>
      </w:rPr>
    </w:pPr>
    <w:r w:rsidRPr="000C4633">
      <w:rPr>
        <w:rFonts w:ascii="Calibri" w:hAnsi="Calibri" w:cs="Calibri"/>
        <w:sz w:val="20"/>
        <w:szCs w:val="20"/>
      </w:rPr>
      <w:t xml:space="preserve">Página </w:t>
    </w:r>
    <w:r w:rsidRPr="000C4633">
      <w:rPr>
        <w:rStyle w:val="Nmerodepgina"/>
        <w:rFonts w:ascii="Calibri" w:hAnsi="Calibri" w:cs="Calibri"/>
        <w:sz w:val="20"/>
        <w:szCs w:val="20"/>
      </w:rPr>
      <w:fldChar w:fldCharType="begin"/>
    </w:r>
    <w:r w:rsidRPr="000C4633">
      <w:rPr>
        <w:rStyle w:val="Nmerodepgina"/>
        <w:rFonts w:ascii="Calibri" w:hAnsi="Calibri" w:cs="Calibri"/>
        <w:sz w:val="20"/>
        <w:szCs w:val="20"/>
      </w:rPr>
      <w:instrText xml:space="preserve"> PAGE </w:instrText>
    </w:r>
    <w:r w:rsidRPr="000C4633">
      <w:rPr>
        <w:rStyle w:val="Nmerodepgina"/>
        <w:rFonts w:ascii="Calibri" w:hAnsi="Calibri" w:cs="Calibri"/>
        <w:sz w:val="20"/>
        <w:szCs w:val="20"/>
      </w:rPr>
      <w:fldChar w:fldCharType="separate"/>
    </w:r>
    <w:r w:rsidR="003F6388">
      <w:rPr>
        <w:rStyle w:val="Nmerodepgina"/>
        <w:rFonts w:ascii="Calibri" w:hAnsi="Calibri" w:cs="Calibri"/>
        <w:noProof/>
        <w:sz w:val="20"/>
        <w:szCs w:val="20"/>
      </w:rPr>
      <w:t>2</w:t>
    </w:r>
    <w:r w:rsidRPr="000C4633">
      <w:rPr>
        <w:rStyle w:val="Nmerodepgina"/>
        <w:rFonts w:ascii="Calibri" w:hAnsi="Calibri" w:cs="Calibri"/>
        <w:sz w:val="20"/>
        <w:szCs w:val="20"/>
      </w:rPr>
      <w:fldChar w:fldCharType="end"/>
    </w:r>
    <w:r w:rsidRPr="000C4633">
      <w:rPr>
        <w:rFonts w:ascii="Calibri" w:hAnsi="Calibri" w:cs="Calibri"/>
        <w:sz w:val="20"/>
        <w:szCs w:val="20"/>
      </w:rPr>
      <w:t xml:space="preserve"> de </w:t>
    </w:r>
    <w:r w:rsidRPr="000C4633">
      <w:rPr>
        <w:rFonts w:ascii="Calibri" w:hAnsi="Calibri" w:cs="Calibri"/>
        <w:sz w:val="20"/>
        <w:szCs w:val="20"/>
      </w:rPr>
      <w:fldChar w:fldCharType="begin"/>
    </w:r>
    <w:r w:rsidRPr="000C4633">
      <w:rPr>
        <w:rFonts w:ascii="Calibri" w:hAnsi="Calibri" w:cs="Calibri"/>
        <w:sz w:val="20"/>
        <w:szCs w:val="20"/>
      </w:rPr>
      <w:instrText xml:space="preserve"> NUMPAGES </w:instrText>
    </w:r>
    <w:r w:rsidRPr="000C4633">
      <w:rPr>
        <w:rFonts w:ascii="Calibri" w:hAnsi="Calibri" w:cs="Calibri"/>
        <w:sz w:val="20"/>
        <w:szCs w:val="20"/>
      </w:rPr>
      <w:fldChar w:fldCharType="separate"/>
    </w:r>
    <w:r w:rsidR="003F6388">
      <w:rPr>
        <w:rFonts w:ascii="Calibri" w:hAnsi="Calibri" w:cs="Calibri"/>
        <w:noProof/>
        <w:sz w:val="20"/>
        <w:szCs w:val="20"/>
      </w:rPr>
      <w:t>3</w:t>
    </w:r>
    <w:r w:rsidRPr="000C4633">
      <w:rPr>
        <w:rFonts w:ascii="Calibri" w:hAnsi="Calibri" w:cs="Calibri"/>
        <w:sz w:val="20"/>
        <w:szCs w:val="20"/>
      </w:rPr>
      <w:fldChar w:fldCharType="end"/>
    </w:r>
  </w:p>
  <w:p w:rsidR="002F61B5" w:rsidRPr="00963313" w:rsidRDefault="002F61B5">
    <w:pPr>
      <w:pStyle w:val="Piedepgina"/>
      <w:rPr>
        <w:lang w:val="es-B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EF0" w:rsidRDefault="00F50EF0">
      <w:r>
        <w:separator/>
      </w:r>
    </w:p>
  </w:footnote>
  <w:footnote w:type="continuationSeparator" w:id="0">
    <w:p w:rsidR="00F50EF0" w:rsidRDefault="00F5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35"/>
      <w:gridCol w:w="4096"/>
      <w:gridCol w:w="2863"/>
    </w:tblGrid>
    <w:tr w:rsidR="00190B6C" w:rsidRPr="00A77447" w:rsidTr="00A77447">
      <w:trPr>
        <w:trHeight w:val="1125"/>
      </w:trPr>
      <w:tc>
        <w:tcPr>
          <w:tcW w:w="2448" w:type="dxa"/>
          <w:shd w:val="clear" w:color="auto" w:fill="auto"/>
          <w:vAlign w:val="center"/>
        </w:tcPr>
        <w:p w:rsidR="00190B6C" w:rsidRPr="00A77447" w:rsidRDefault="00CA5252" w:rsidP="00706B5F">
          <w:pPr>
            <w:autoSpaceDE w:val="0"/>
            <w:autoSpaceDN w:val="0"/>
            <w:adjustRightInd w:val="0"/>
            <w:spacing w:after="120"/>
            <w:jc w:val="center"/>
            <w:rPr>
              <w:rFonts w:ascii="Cambria" w:hAnsi="Cambria" w:cs="Calibri"/>
              <w:b/>
              <w:sz w:val="22"/>
              <w:szCs w:val="22"/>
              <w:lang w:val="es-BO"/>
            </w:rPr>
          </w:pPr>
          <w:r w:rsidRPr="00A77447">
            <w:rPr>
              <w:rFonts w:ascii="Cambria" w:hAnsi="Cambria" w:cs="Calibri"/>
              <w:b/>
              <w:noProof/>
              <w:sz w:val="22"/>
              <w:szCs w:val="22"/>
              <w:lang w:val="es-BO" w:eastAsia="es-BO"/>
            </w:rPr>
            <w:drawing>
              <wp:inline distT="0" distB="0" distL="0" distR="0">
                <wp:extent cx="1171575" cy="771525"/>
                <wp:effectExtent l="0" t="0" r="9525" b="9525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1" w:type="dxa"/>
          <w:shd w:val="clear" w:color="auto" w:fill="auto"/>
          <w:vAlign w:val="center"/>
        </w:tcPr>
        <w:p w:rsidR="005829D9" w:rsidRPr="00A77447" w:rsidRDefault="005829D9" w:rsidP="000B1DAB">
          <w:pPr>
            <w:autoSpaceDE w:val="0"/>
            <w:autoSpaceDN w:val="0"/>
            <w:adjustRightInd w:val="0"/>
            <w:spacing w:after="120"/>
            <w:jc w:val="center"/>
            <w:rPr>
              <w:rFonts w:ascii="Cambria" w:hAnsi="Cambria" w:cs="Arial"/>
              <w:b/>
              <w:color w:val="000000"/>
              <w:lang w:eastAsia="es-BO"/>
            </w:rPr>
          </w:pPr>
          <w:r w:rsidRPr="00A77447">
            <w:rPr>
              <w:rFonts w:ascii="Cambria" w:hAnsi="Cambria" w:cs="Arial"/>
              <w:b/>
              <w:color w:val="000000"/>
              <w:lang w:eastAsia="es-BO"/>
            </w:rPr>
            <w:t xml:space="preserve">ANEXO </w:t>
          </w:r>
          <w:r w:rsidR="00BC5727" w:rsidRPr="00A77447">
            <w:rPr>
              <w:rFonts w:ascii="Cambria" w:hAnsi="Cambria" w:cs="Arial"/>
              <w:b/>
              <w:color w:val="000000"/>
              <w:lang w:eastAsia="es-BO"/>
            </w:rPr>
            <w:t>5.2</w:t>
          </w:r>
        </w:p>
        <w:p w:rsidR="00AA2587" w:rsidRPr="00A77447" w:rsidRDefault="005829D9" w:rsidP="00A77447">
          <w:pPr>
            <w:autoSpaceDE w:val="0"/>
            <w:autoSpaceDN w:val="0"/>
            <w:adjustRightInd w:val="0"/>
            <w:spacing w:after="120"/>
            <w:jc w:val="center"/>
            <w:rPr>
              <w:rFonts w:ascii="Cambria" w:hAnsi="Cambria" w:cs="Arial"/>
              <w:b/>
              <w:color w:val="000000"/>
              <w:lang w:eastAsia="es-BO"/>
            </w:rPr>
          </w:pPr>
          <w:r w:rsidRPr="00A77447">
            <w:rPr>
              <w:rFonts w:ascii="Cambria" w:hAnsi="Cambria" w:cs="Arial"/>
              <w:b/>
              <w:color w:val="000000"/>
              <w:lang w:eastAsia="es-BO"/>
            </w:rPr>
            <w:t>GARANTIAS FINANCIERAS</w:t>
          </w:r>
        </w:p>
      </w:tc>
      <w:tc>
        <w:tcPr>
          <w:tcW w:w="2915" w:type="dxa"/>
          <w:shd w:val="clear" w:color="auto" w:fill="auto"/>
          <w:vAlign w:val="center"/>
        </w:tcPr>
        <w:p w:rsidR="00190B6C" w:rsidRPr="00A77447" w:rsidRDefault="00190B6C" w:rsidP="00AA2587">
          <w:pPr>
            <w:autoSpaceDE w:val="0"/>
            <w:autoSpaceDN w:val="0"/>
            <w:adjustRightInd w:val="0"/>
            <w:spacing w:after="120"/>
            <w:jc w:val="center"/>
            <w:rPr>
              <w:rFonts w:ascii="Cambria" w:hAnsi="Cambria" w:cs="Calibri"/>
              <w:b/>
              <w:sz w:val="22"/>
              <w:szCs w:val="22"/>
              <w:lang w:val="es-BO"/>
            </w:rPr>
          </w:pPr>
          <w:r w:rsidRPr="00A77447">
            <w:rPr>
              <w:rFonts w:ascii="Cambria" w:hAnsi="Cambria" w:cs="Calibri"/>
              <w:b/>
              <w:sz w:val="22"/>
              <w:szCs w:val="22"/>
              <w:lang w:val="es-BO"/>
            </w:rPr>
            <w:t>RG-</w:t>
          </w:r>
          <w:r w:rsidR="008352C3" w:rsidRPr="00A77447">
            <w:rPr>
              <w:rFonts w:ascii="Cambria" w:hAnsi="Cambria" w:cs="Calibri"/>
              <w:b/>
              <w:sz w:val="22"/>
              <w:szCs w:val="22"/>
              <w:lang w:val="es-BO"/>
            </w:rPr>
            <w:t>21</w:t>
          </w:r>
          <w:r w:rsidRPr="00A77447">
            <w:rPr>
              <w:rFonts w:ascii="Cambria" w:hAnsi="Cambria" w:cs="Calibri"/>
              <w:b/>
              <w:sz w:val="22"/>
              <w:szCs w:val="22"/>
              <w:lang w:val="es-BO"/>
            </w:rPr>
            <w:t>-A-GAFC/</w:t>
          </w:r>
          <w:r w:rsidR="003D29A7" w:rsidRPr="00A77447">
            <w:rPr>
              <w:rFonts w:ascii="Cambria" w:hAnsi="Cambria" w:cs="Calibri"/>
              <w:b/>
              <w:sz w:val="22"/>
              <w:szCs w:val="22"/>
              <w:lang w:val="es-BO"/>
            </w:rPr>
            <w:t>DCEG</w:t>
          </w:r>
        </w:p>
      </w:tc>
    </w:tr>
  </w:tbl>
  <w:p w:rsidR="00190B6C" w:rsidRPr="00B0617C" w:rsidRDefault="00190B6C">
    <w:pPr>
      <w:pStyle w:val="Encabezado"/>
      <w:rPr>
        <w:rFonts w:ascii="Calibri" w:hAnsi="Calibri" w:cs="Calibri"/>
        <w:sz w:val="16"/>
        <w:szCs w:val="16"/>
        <w:lang w:val="es-B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8F2A8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354E54F8"/>
    <w:lvl w:ilvl="0">
      <w:numFmt w:val="bullet"/>
      <w:lvlText w:val="*"/>
      <w:lvlJc w:val="left"/>
    </w:lvl>
  </w:abstractNum>
  <w:abstractNum w:abstractNumId="2">
    <w:nsid w:val="090A6DE6"/>
    <w:multiLevelType w:val="multilevel"/>
    <w:tmpl w:val="D7905E8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37E731D"/>
    <w:multiLevelType w:val="singleLevel"/>
    <w:tmpl w:val="04CC85F2"/>
    <w:lvl w:ilvl="0">
      <w:start w:val="2"/>
      <w:numFmt w:val="upperRoman"/>
      <w:lvlText w:val="%1."/>
      <w:lvlJc w:val="left"/>
      <w:pPr>
        <w:tabs>
          <w:tab w:val="num" w:pos="4968"/>
        </w:tabs>
        <w:ind w:left="4968" w:hanging="720"/>
      </w:pPr>
      <w:rPr>
        <w:rFonts w:hint="default"/>
      </w:rPr>
    </w:lvl>
  </w:abstractNum>
  <w:abstractNum w:abstractNumId="4">
    <w:nsid w:val="140D5FA3"/>
    <w:multiLevelType w:val="multilevel"/>
    <w:tmpl w:val="5CD02B98"/>
    <w:lvl w:ilvl="0">
      <w:start w:val="5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4F127E2"/>
    <w:multiLevelType w:val="hybridMultilevel"/>
    <w:tmpl w:val="7996F07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3743F"/>
    <w:multiLevelType w:val="multilevel"/>
    <w:tmpl w:val="2266F452"/>
    <w:lvl w:ilvl="0">
      <w:start w:val="1"/>
      <w:numFmt w:val="decimal"/>
      <w:pStyle w:val="Ttulo1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003264"/>
        <w:sz w:val="24"/>
        <w:szCs w:val="24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646"/>
        </w:tabs>
        <w:ind w:left="646" w:hanging="646"/>
      </w:pPr>
      <w:rPr>
        <w:rFonts w:ascii="Arial" w:hAnsi="Arial" w:hint="default"/>
        <w:b/>
        <w:i w:val="0"/>
        <w:color w:val="003264"/>
        <w:sz w:val="24"/>
        <w:szCs w:val="24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3264"/>
        <w:sz w:val="24"/>
        <w:szCs w:val="24"/>
        <w:lang w:val="es-ES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1047"/>
        </w:tabs>
        <w:ind w:left="1047" w:hanging="1047"/>
      </w:pPr>
      <w:rPr>
        <w:rFonts w:ascii="Arial" w:hAnsi="Arial" w:hint="default"/>
        <w:b w:val="0"/>
        <w:i w:val="0"/>
        <w:color w:val="003264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5"/>
        </w:tabs>
        <w:ind w:left="1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74"/>
        </w:tabs>
        <w:ind w:left="1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3"/>
        </w:tabs>
        <w:ind w:left="17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12"/>
        </w:tabs>
        <w:ind w:left="1712" w:hanging="1800"/>
      </w:pPr>
      <w:rPr>
        <w:rFonts w:hint="default"/>
      </w:rPr>
    </w:lvl>
  </w:abstractNum>
  <w:abstractNum w:abstractNumId="7">
    <w:nsid w:val="203B321C"/>
    <w:multiLevelType w:val="multilevel"/>
    <w:tmpl w:val="EB4C43EE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color w:val="00008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</w:abstractNum>
  <w:abstractNum w:abstractNumId="8">
    <w:nsid w:val="2B6A39A4"/>
    <w:multiLevelType w:val="multilevel"/>
    <w:tmpl w:val="15B89EB2"/>
    <w:lvl w:ilvl="0">
      <w:start w:val="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9FC2CDD"/>
    <w:multiLevelType w:val="multilevel"/>
    <w:tmpl w:val="A9DE58D8"/>
    <w:lvl w:ilvl="0">
      <w:start w:val="5"/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3">
      <w:start w:val="10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BE90807"/>
    <w:multiLevelType w:val="multilevel"/>
    <w:tmpl w:val="27148588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1">
      <w:start w:val="6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 w:val="0"/>
        <w:color w:val="00000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000000"/>
      </w:rPr>
    </w:lvl>
  </w:abstractNum>
  <w:abstractNum w:abstractNumId="11">
    <w:nsid w:val="52DD2A2A"/>
    <w:multiLevelType w:val="hybridMultilevel"/>
    <w:tmpl w:val="860AB1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FE234E"/>
    <w:multiLevelType w:val="multilevel"/>
    <w:tmpl w:val="241246E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3"/>
        </w:tabs>
        <w:ind w:left="353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06"/>
        </w:tabs>
        <w:ind w:left="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59"/>
        </w:tabs>
        <w:ind w:left="1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5"/>
        </w:tabs>
        <w:ind w:left="1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1"/>
        </w:tabs>
        <w:ind w:left="1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44"/>
        </w:tabs>
        <w:ind w:left="1744" w:hanging="1800"/>
      </w:pPr>
      <w:rPr>
        <w:rFonts w:hint="default"/>
      </w:rPr>
    </w:lvl>
  </w:abstractNum>
  <w:abstractNum w:abstractNumId="13">
    <w:nsid w:val="6DA63CCD"/>
    <w:multiLevelType w:val="multilevel"/>
    <w:tmpl w:val="7270A270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75614CC9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6D17826"/>
    <w:multiLevelType w:val="hybridMultilevel"/>
    <w:tmpl w:val="2F1A7EE0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E3A57C4"/>
    <w:multiLevelType w:val="multilevel"/>
    <w:tmpl w:val="7CE6F25C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8"/>
        </w:tabs>
        <w:ind w:left="848" w:hanging="85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841"/>
        </w:tabs>
        <w:ind w:left="841" w:hanging="85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059"/>
        </w:tabs>
        <w:ind w:left="1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2"/>
        </w:tabs>
        <w:ind w:left="1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05"/>
        </w:tabs>
        <w:ind w:left="1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1"/>
        </w:tabs>
        <w:ind w:left="1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44"/>
        </w:tabs>
        <w:ind w:left="1744" w:hanging="1800"/>
      </w:pPr>
      <w:rPr>
        <w:rFonts w:hint="default"/>
      </w:rPr>
    </w:lvl>
  </w:abstractNum>
  <w:num w:numId="1">
    <w:abstractNumId w:val="1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">
    <w:abstractNumId w:val="16"/>
  </w:num>
  <w:num w:numId="3">
    <w:abstractNumId w:val="12"/>
  </w:num>
  <w:num w:numId="4">
    <w:abstractNumId w:val="8"/>
  </w:num>
  <w:num w:numId="5">
    <w:abstractNumId w:val="9"/>
  </w:num>
  <w:num w:numId="6">
    <w:abstractNumId w:val="6"/>
  </w:num>
  <w:num w:numId="7">
    <w:abstractNumId w:val="14"/>
  </w:num>
  <w:num w:numId="8">
    <w:abstractNumId w:val="10"/>
  </w:num>
  <w:num w:numId="9">
    <w:abstractNumId w:val="7"/>
  </w:num>
  <w:num w:numId="10">
    <w:abstractNumId w:val="4"/>
  </w:num>
  <w:num w:numId="11">
    <w:abstractNumId w:val="13"/>
  </w:num>
  <w:num w:numId="12">
    <w:abstractNumId w:val="11"/>
  </w:num>
  <w:num w:numId="13">
    <w:abstractNumId w:val="2"/>
  </w:num>
  <w:num w:numId="14">
    <w:abstractNumId w:val="6"/>
  </w:num>
  <w:num w:numId="15">
    <w:abstractNumId w:val="6"/>
  </w:num>
  <w:num w:numId="16">
    <w:abstractNumId w:val="6"/>
  </w:num>
  <w:num w:numId="17">
    <w:abstractNumId w:val="0"/>
  </w:num>
  <w:num w:numId="18">
    <w:abstractNumId w:val="15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425"/>
  <w:characterSpacingControl w:val="doNotCompress"/>
  <w:hdrShapeDefaults>
    <o:shapedefaults v:ext="edit" spidmax="2049">
      <o:colormru v:ext="edit" colors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E41"/>
    <w:rsid w:val="000002C2"/>
    <w:rsid w:val="0000345E"/>
    <w:rsid w:val="00007A60"/>
    <w:rsid w:val="0001254A"/>
    <w:rsid w:val="000146C3"/>
    <w:rsid w:val="00020D06"/>
    <w:rsid w:val="000263A5"/>
    <w:rsid w:val="000342C6"/>
    <w:rsid w:val="00037B10"/>
    <w:rsid w:val="00040375"/>
    <w:rsid w:val="00043AE2"/>
    <w:rsid w:val="00050925"/>
    <w:rsid w:val="00055C3C"/>
    <w:rsid w:val="000565C5"/>
    <w:rsid w:val="00065BE9"/>
    <w:rsid w:val="00065C52"/>
    <w:rsid w:val="00067DD6"/>
    <w:rsid w:val="00067FCF"/>
    <w:rsid w:val="000727C8"/>
    <w:rsid w:val="00082C36"/>
    <w:rsid w:val="000847EB"/>
    <w:rsid w:val="00087AC1"/>
    <w:rsid w:val="00094F87"/>
    <w:rsid w:val="000A3A76"/>
    <w:rsid w:val="000A43DB"/>
    <w:rsid w:val="000A4CB5"/>
    <w:rsid w:val="000B1DAB"/>
    <w:rsid w:val="000B2324"/>
    <w:rsid w:val="000B27CB"/>
    <w:rsid w:val="000B53EA"/>
    <w:rsid w:val="000C047E"/>
    <w:rsid w:val="000C4633"/>
    <w:rsid w:val="000E06B7"/>
    <w:rsid w:val="000E0B8E"/>
    <w:rsid w:val="000E71BD"/>
    <w:rsid w:val="000F23FC"/>
    <w:rsid w:val="000F37EE"/>
    <w:rsid w:val="000F3C3F"/>
    <w:rsid w:val="00103AAD"/>
    <w:rsid w:val="001045E8"/>
    <w:rsid w:val="001111FC"/>
    <w:rsid w:val="00112312"/>
    <w:rsid w:val="0011621C"/>
    <w:rsid w:val="0011667A"/>
    <w:rsid w:val="00120A32"/>
    <w:rsid w:val="00123291"/>
    <w:rsid w:val="00123758"/>
    <w:rsid w:val="00125599"/>
    <w:rsid w:val="00132440"/>
    <w:rsid w:val="00132655"/>
    <w:rsid w:val="001367AF"/>
    <w:rsid w:val="001540F5"/>
    <w:rsid w:val="00156546"/>
    <w:rsid w:val="0016356C"/>
    <w:rsid w:val="00163C58"/>
    <w:rsid w:val="00164DCE"/>
    <w:rsid w:val="0017107A"/>
    <w:rsid w:val="00171177"/>
    <w:rsid w:val="00171AD8"/>
    <w:rsid w:val="00175989"/>
    <w:rsid w:val="0018196C"/>
    <w:rsid w:val="00184C1C"/>
    <w:rsid w:val="00186739"/>
    <w:rsid w:val="00190B6C"/>
    <w:rsid w:val="00196B80"/>
    <w:rsid w:val="001A696E"/>
    <w:rsid w:val="001B2694"/>
    <w:rsid w:val="001B7793"/>
    <w:rsid w:val="001C13F8"/>
    <w:rsid w:val="001E0E93"/>
    <w:rsid w:val="00204AFF"/>
    <w:rsid w:val="00211EEC"/>
    <w:rsid w:val="00212211"/>
    <w:rsid w:val="0021584D"/>
    <w:rsid w:val="00215B90"/>
    <w:rsid w:val="002225A1"/>
    <w:rsid w:val="002300F2"/>
    <w:rsid w:val="002351FA"/>
    <w:rsid w:val="0023557B"/>
    <w:rsid w:val="00241AAF"/>
    <w:rsid w:val="00242C6B"/>
    <w:rsid w:val="00252492"/>
    <w:rsid w:val="00253C42"/>
    <w:rsid w:val="002566E4"/>
    <w:rsid w:val="00257FB3"/>
    <w:rsid w:val="002609B6"/>
    <w:rsid w:val="00262F3F"/>
    <w:rsid w:val="002678FB"/>
    <w:rsid w:val="0028265C"/>
    <w:rsid w:val="00290E6C"/>
    <w:rsid w:val="00290EF6"/>
    <w:rsid w:val="002951D3"/>
    <w:rsid w:val="00296092"/>
    <w:rsid w:val="002A48A0"/>
    <w:rsid w:val="002A4B69"/>
    <w:rsid w:val="002B23FA"/>
    <w:rsid w:val="002B48CA"/>
    <w:rsid w:val="002B5303"/>
    <w:rsid w:val="002B5AA8"/>
    <w:rsid w:val="002B6D9D"/>
    <w:rsid w:val="002B72A6"/>
    <w:rsid w:val="002B75D5"/>
    <w:rsid w:val="002C56F3"/>
    <w:rsid w:val="002D18DA"/>
    <w:rsid w:val="002D2B9C"/>
    <w:rsid w:val="002D6B08"/>
    <w:rsid w:val="002E3B6A"/>
    <w:rsid w:val="002E775B"/>
    <w:rsid w:val="002F25C0"/>
    <w:rsid w:val="002F3237"/>
    <w:rsid w:val="002F61B5"/>
    <w:rsid w:val="002F61BB"/>
    <w:rsid w:val="003029FE"/>
    <w:rsid w:val="003046EA"/>
    <w:rsid w:val="0030790F"/>
    <w:rsid w:val="00307F8C"/>
    <w:rsid w:val="00314EFB"/>
    <w:rsid w:val="00316B21"/>
    <w:rsid w:val="00320EC2"/>
    <w:rsid w:val="0032198A"/>
    <w:rsid w:val="00340BF7"/>
    <w:rsid w:val="00351ACD"/>
    <w:rsid w:val="00352B2B"/>
    <w:rsid w:val="00353F09"/>
    <w:rsid w:val="00353F4D"/>
    <w:rsid w:val="0035480E"/>
    <w:rsid w:val="00354D66"/>
    <w:rsid w:val="003577BA"/>
    <w:rsid w:val="00363C67"/>
    <w:rsid w:val="003672F5"/>
    <w:rsid w:val="003748A4"/>
    <w:rsid w:val="00374CCD"/>
    <w:rsid w:val="003756C5"/>
    <w:rsid w:val="00376A1B"/>
    <w:rsid w:val="0038009B"/>
    <w:rsid w:val="00380A58"/>
    <w:rsid w:val="00385E45"/>
    <w:rsid w:val="00387645"/>
    <w:rsid w:val="00387C8B"/>
    <w:rsid w:val="00387ECA"/>
    <w:rsid w:val="003949F4"/>
    <w:rsid w:val="003958D4"/>
    <w:rsid w:val="00396347"/>
    <w:rsid w:val="003A44C6"/>
    <w:rsid w:val="003A5B51"/>
    <w:rsid w:val="003B1977"/>
    <w:rsid w:val="003B6E88"/>
    <w:rsid w:val="003C42B3"/>
    <w:rsid w:val="003C46AF"/>
    <w:rsid w:val="003C5371"/>
    <w:rsid w:val="003C57B3"/>
    <w:rsid w:val="003D0089"/>
    <w:rsid w:val="003D29A7"/>
    <w:rsid w:val="003D33D6"/>
    <w:rsid w:val="003E2126"/>
    <w:rsid w:val="003E6431"/>
    <w:rsid w:val="003F3504"/>
    <w:rsid w:val="003F6388"/>
    <w:rsid w:val="00400E7F"/>
    <w:rsid w:val="00407675"/>
    <w:rsid w:val="004126D2"/>
    <w:rsid w:val="00423CCE"/>
    <w:rsid w:val="00424BD9"/>
    <w:rsid w:val="004264B5"/>
    <w:rsid w:val="0043489E"/>
    <w:rsid w:val="00434FC7"/>
    <w:rsid w:val="004426CA"/>
    <w:rsid w:val="00445A48"/>
    <w:rsid w:val="0044643F"/>
    <w:rsid w:val="00446854"/>
    <w:rsid w:val="00446BC4"/>
    <w:rsid w:val="004547C3"/>
    <w:rsid w:val="0045621D"/>
    <w:rsid w:val="00461320"/>
    <w:rsid w:val="0046275E"/>
    <w:rsid w:val="00470154"/>
    <w:rsid w:val="0047084F"/>
    <w:rsid w:val="004727FE"/>
    <w:rsid w:val="0047574B"/>
    <w:rsid w:val="00491726"/>
    <w:rsid w:val="0049224D"/>
    <w:rsid w:val="00493646"/>
    <w:rsid w:val="004967B7"/>
    <w:rsid w:val="004A6107"/>
    <w:rsid w:val="004B3034"/>
    <w:rsid w:val="004B5740"/>
    <w:rsid w:val="004B758D"/>
    <w:rsid w:val="004B76C3"/>
    <w:rsid w:val="004C6D22"/>
    <w:rsid w:val="004F55E4"/>
    <w:rsid w:val="00502103"/>
    <w:rsid w:val="0050549B"/>
    <w:rsid w:val="00506519"/>
    <w:rsid w:val="00511EC4"/>
    <w:rsid w:val="00512F22"/>
    <w:rsid w:val="0051392A"/>
    <w:rsid w:val="005171FD"/>
    <w:rsid w:val="005279C0"/>
    <w:rsid w:val="0053442B"/>
    <w:rsid w:val="00542219"/>
    <w:rsid w:val="0054337A"/>
    <w:rsid w:val="0054482A"/>
    <w:rsid w:val="00544928"/>
    <w:rsid w:val="0054499D"/>
    <w:rsid w:val="00545CA5"/>
    <w:rsid w:val="00546ADD"/>
    <w:rsid w:val="00552393"/>
    <w:rsid w:val="00552DD8"/>
    <w:rsid w:val="005547CE"/>
    <w:rsid w:val="005560CC"/>
    <w:rsid w:val="005567C0"/>
    <w:rsid w:val="00564800"/>
    <w:rsid w:val="0057326F"/>
    <w:rsid w:val="0057448C"/>
    <w:rsid w:val="00580368"/>
    <w:rsid w:val="005829D9"/>
    <w:rsid w:val="005830E7"/>
    <w:rsid w:val="00591173"/>
    <w:rsid w:val="00596037"/>
    <w:rsid w:val="00596EA7"/>
    <w:rsid w:val="00597686"/>
    <w:rsid w:val="00597C80"/>
    <w:rsid w:val="005A42B8"/>
    <w:rsid w:val="005A503A"/>
    <w:rsid w:val="005B52C9"/>
    <w:rsid w:val="005D005C"/>
    <w:rsid w:val="005D682F"/>
    <w:rsid w:val="005E0469"/>
    <w:rsid w:val="005E449A"/>
    <w:rsid w:val="005E480A"/>
    <w:rsid w:val="005E5829"/>
    <w:rsid w:val="005F2B84"/>
    <w:rsid w:val="005F5B63"/>
    <w:rsid w:val="005F5D13"/>
    <w:rsid w:val="00600F3A"/>
    <w:rsid w:val="006010C6"/>
    <w:rsid w:val="00605CEB"/>
    <w:rsid w:val="006116A1"/>
    <w:rsid w:val="00614246"/>
    <w:rsid w:val="00625A6B"/>
    <w:rsid w:val="00632F4E"/>
    <w:rsid w:val="006364D3"/>
    <w:rsid w:val="0064428F"/>
    <w:rsid w:val="006479AA"/>
    <w:rsid w:val="00657B12"/>
    <w:rsid w:val="00661AC4"/>
    <w:rsid w:val="00664CD5"/>
    <w:rsid w:val="00665BB8"/>
    <w:rsid w:val="00673907"/>
    <w:rsid w:val="00673E86"/>
    <w:rsid w:val="006742FF"/>
    <w:rsid w:val="006808F0"/>
    <w:rsid w:val="00691099"/>
    <w:rsid w:val="00693F33"/>
    <w:rsid w:val="006A2CEE"/>
    <w:rsid w:val="006A3C13"/>
    <w:rsid w:val="006A50DA"/>
    <w:rsid w:val="006A5B45"/>
    <w:rsid w:val="006A6C0F"/>
    <w:rsid w:val="006B10E2"/>
    <w:rsid w:val="006B4EF8"/>
    <w:rsid w:val="006B6C02"/>
    <w:rsid w:val="006C0CF3"/>
    <w:rsid w:val="006C0DD4"/>
    <w:rsid w:val="006C10E9"/>
    <w:rsid w:val="006C1BD6"/>
    <w:rsid w:val="006C40A8"/>
    <w:rsid w:val="006C62D0"/>
    <w:rsid w:val="006C73EF"/>
    <w:rsid w:val="006D0878"/>
    <w:rsid w:val="006D2393"/>
    <w:rsid w:val="006D2C0F"/>
    <w:rsid w:val="006D44B1"/>
    <w:rsid w:val="006D7BEB"/>
    <w:rsid w:val="006E15D0"/>
    <w:rsid w:val="006E175E"/>
    <w:rsid w:val="006E1871"/>
    <w:rsid w:val="006E1ECB"/>
    <w:rsid w:val="006E2B5D"/>
    <w:rsid w:val="006F0D8B"/>
    <w:rsid w:val="006F231F"/>
    <w:rsid w:val="006F4C8D"/>
    <w:rsid w:val="0070051D"/>
    <w:rsid w:val="00701F4C"/>
    <w:rsid w:val="00704621"/>
    <w:rsid w:val="00706B5F"/>
    <w:rsid w:val="00710265"/>
    <w:rsid w:val="00714EB6"/>
    <w:rsid w:val="00715B68"/>
    <w:rsid w:val="00716448"/>
    <w:rsid w:val="00716698"/>
    <w:rsid w:val="00724F81"/>
    <w:rsid w:val="00727200"/>
    <w:rsid w:val="00732472"/>
    <w:rsid w:val="00743939"/>
    <w:rsid w:val="00744D78"/>
    <w:rsid w:val="00746168"/>
    <w:rsid w:val="0074653D"/>
    <w:rsid w:val="0075059A"/>
    <w:rsid w:val="007534E2"/>
    <w:rsid w:val="007605F8"/>
    <w:rsid w:val="00761FE3"/>
    <w:rsid w:val="00764A8F"/>
    <w:rsid w:val="0076503A"/>
    <w:rsid w:val="00766A83"/>
    <w:rsid w:val="00767C3E"/>
    <w:rsid w:val="007706C4"/>
    <w:rsid w:val="00773989"/>
    <w:rsid w:val="00775C2B"/>
    <w:rsid w:val="007774E3"/>
    <w:rsid w:val="007776F3"/>
    <w:rsid w:val="00784598"/>
    <w:rsid w:val="00795E81"/>
    <w:rsid w:val="007A1C17"/>
    <w:rsid w:val="007A2DF4"/>
    <w:rsid w:val="007A4849"/>
    <w:rsid w:val="007A5459"/>
    <w:rsid w:val="007A7AEA"/>
    <w:rsid w:val="007B740C"/>
    <w:rsid w:val="007D50DA"/>
    <w:rsid w:val="007E2C69"/>
    <w:rsid w:val="007E4994"/>
    <w:rsid w:val="007E7FE8"/>
    <w:rsid w:val="007F10E5"/>
    <w:rsid w:val="007F363D"/>
    <w:rsid w:val="007F3CF0"/>
    <w:rsid w:val="00802156"/>
    <w:rsid w:val="0080553E"/>
    <w:rsid w:val="0080582C"/>
    <w:rsid w:val="00805E41"/>
    <w:rsid w:val="00810347"/>
    <w:rsid w:val="00810B29"/>
    <w:rsid w:val="008121DC"/>
    <w:rsid w:val="00812F13"/>
    <w:rsid w:val="00812FED"/>
    <w:rsid w:val="008136A3"/>
    <w:rsid w:val="00820AF0"/>
    <w:rsid w:val="008218A5"/>
    <w:rsid w:val="00822610"/>
    <w:rsid w:val="0082458B"/>
    <w:rsid w:val="00826029"/>
    <w:rsid w:val="00827439"/>
    <w:rsid w:val="00833745"/>
    <w:rsid w:val="008352C3"/>
    <w:rsid w:val="008452ED"/>
    <w:rsid w:val="00852F35"/>
    <w:rsid w:val="00860196"/>
    <w:rsid w:val="00860CDE"/>
    <w:rsid w:val="00863545"/>
    <w:rsid w:val="00867787"/>
    <w:rsid w:val="00871541"/>
    <w:rsid w:val="00874ED5"/>
    <w:rsid w:val="00875B0E"/>
    <w:rsid w:val="00876D69"/>
    <w:rsid w:val="00877542"/>
    <w:rsid w:val="00877866"/>
    <w:rsid w:val="00881D49"/>
    <w:rsid w:val="008831C5"/>
    <w:rsid w:val="008868BA"/>
    <w:rsid w:val="00893E7E"/>
    <w:rsid w:val="00894D61"/>
    <w:rsid w:val="00896BD8"/>
    <w:rsid w:val="008A17CA"/>
    <w:rsid w:val="008A2B84"/>
    <w:rsid w:val="008A32F0"/>
    <w:rsid w:val="008A57D9"/>
    <w:rsid w:val="008B1522"/>
    <w:rsid w:val="008B318E"/>
    <w:rsid w:val="008B32DB"/>
    <w:rsid w:val="008C009B"/>
    <w:rsid w:val="008C030F"/>
    <w:rsid w:val="008C1CB2"/>
    <w:rsid w:val="008D0728"/>
    <w:rsid w:val="008D0B23"/>
    <w:rsid w:val="008D7FBB"/>
    <w:rsid w:val="008E2768"/>
    <w:rsid w:val="008E4AF7"/>
    <w:rsid w:val="008E7674"/>
    <w:rsid w:val="008F2907"/>
    <w:rsid w:val="008F2C97"/>
    <w:rsid w:val="0090254B"/>
    <w:rsid w:val="00902E42"/>
    <w:rsid w:val="00904D63"/>
    <w:rsid w:val="009079E8"/>
    <w:rsid w:val="00913A17"/>
    <w:rsid w:val="009228E1"/>
    <w:rsid w:val="009252A9"/>
    <w:rsid w:val="00932DBD"/>
    <w:rsid w:val="009351FE"/>
    <w:rsid w:val="00941080"/>
    <w:rsid w:val="009425F0"/>
    <w:rsid w:val="009427FA"/>
    <w:rsid w:val="00943357"/>
    <w:rsid w:val="00946D52"/>
    <w:rsid w:val="00951756"/>
    <w:rsid w:val="00954605"/>
    <w:rsid w:val="00954F81"/>
    <w:rsid w:val="009563D5"/>
    <w:rsid w:val="009569E0"/>
    <w:rsid w:val="00963313"/>
    <w:rsid w:val="00973658"/>
    <w:rsid w:val="0097467D"/>
    <w:rsid w:val="00977AAE"/>
    <w:rsid w:val="009808AC"/>
    <w:rsid w:val="00982351"/>
    <w:rsid w:val="0098347F"/>
    <w:rsid w:val="00984CCB"/>
    <w:rsid w:val="00985DB1"/>
    <w:rsid w:val="009877DF"/>
    <w:rsid w:val="00987AF5"/>
    <w:rsid w:val="009907BF"/>
    <w:rsid w:val="009960F1"/>
    <w:rsid w:val="00997FAF"/>
    <w:rsid w:val="009A31E7"/>
    <w:rsid w:val="009B0E22"/>
    <w:rsid w:val="009C76C3"/>
    <w:rsid w:val="009D0866"/>
    <w:rsid w:val="009D2913"/>
    <w:rsid w:val="009D4CA9"/>
    <w:rsid w:val="009E3A47"/>
    <w:rsid w:val="009E6CEC"/>
    <w:rsid w:val="009F181D"/>
    <w:rsid w:val="009F1A0E"/>
    <w:rsid w:val="009F2D89"/>
    <w:rsid w:val="009F7953"/>
    <w:rsid w:val="00A0033B"/>
    <w:rsid w:val="00A038FD"/>
    <w:rsid w:val="00A03AEB"/>
    <w:rsid w:val="00A1005C"/>
    <w:rsid w:val="00A10D1E"/>
    <w:rsid w:val="00A12F41"/>
    <w:rsid w:val="00A13EF9"/>
    <w:rsid w:val="00A2047A"/>
    <w:rsid w:val="00A22D7C"/>
    <w:rsid w:val="00A26B4C"/>
    <w:rsid w:val="00A3198C"/>
    <w:rsid w:val="00A31A11"/>
    <w:rsid w:val="00A32595"/>
    <w:rsid w:val="00A33014"/>
    <w:rsid w:val="00A35703"/>
    <w:rsid w:val="00A359B5"/>
    <w:rsid w:val="00A4532F"/>
    <w:rsid w:val="00A475D7"/>
    <w:rsid w:val="00A50E12"/>
    <w:rsid w:val="00A5398F"/>
    <w:rsid w:val="00A6215A"/>
    <w:rsid w:val="00A65843"/>
    <w:rsid w:val="00A77447"/>
    <w:rsid w:val="00A8003D"/>
    <w:rsid w:val="00A828E9"/>
    <w:rsid w:val="00A850D4"/>
    <w:rsid w:val="00A96C2F"/>
    <w:rsid w:val="00A9726A"/>
    <w:rsid w:val="00AA11F6"/>
    <w:rsid w:val="00AA124C"/>
    <w:rsid w:val="00AA169E"/>
    <w:rsid w:val="00AA2587"/>
    <w:rsid w:val="00AA5E6C"/>
    <w:rsid w:val="00AA66F1"/>
    <w:rsid w:val="00AA6E1B"/>
    <w:rsid w:val="00AB005F"/>
    <w:rsid w:val="00AB2E63"/>
    <w:rsid w:val="00AC3C08"/>
    <w:rsid w:val="00AC44F3"/>
    <w:rsid w:val="00AC6B42"/>
    <w:rsid w:val="00AD2D45"/>
    <w:rsid w:val="00AD4127"/>
    <w:rsid w:val="00AD462D"/>
    <w:rsid w:val="00AF2E14"/>
    <w:rsid w:val="00AF769F"/>
    <w:rsid w:val="00B01A10"/>
    <w:rsid w:val="00B04FBD"/>
    <w:rsid w:val="00B0617C"/>
    <w:rsid w:val="00B071C0"/>
    <w:rsid w:val="00B10C94"/>
    <w:rsid w:val="00B228EC"/>
    <w:rsid w:val="00B23809"/>
    <w:rsid w:val="00B24469"/>
    <w:rsid w:val="00B27487"/>
    <w:rsid w:val="00B31366"/>
    <w:rsid w:val="00B32D1E"/>
    <w:rsid w:val="00B54E7E"/>
    <w:rsid w:val="00B6205B"/>
    <w:rsid w:val="00B70859"/>
    <w:rsid w:val="00B71CA7"/>
    <w:rsid w:val="00B73658"/>
    <w:rsid w:val="00B749F3"/>
    <w:rsid w:val="00B75C2C"/>
    <w:rsid w:val="00B76324"/>
    <w:rsid w:val="00B8040D"/>
    <w:rsid w:val="00B82537"/>
    <w:rsid w:val="00B87620"/>
    <w:rsid w:val="00B87AEB"/>
    <w:rsid w:val="00B87FF1"/>
    <w:rsid w:val="00B954FA"/>
    <w:rsid w:val="00B970F0"/>
    <w:rsid w:val="00BA201D"/>
    <w:rsid w:val="00BA3E69"/>
    <w:rsid w:val="00BB2E93"/>
    <w:rsid w:val="00BC3C62"/>
    <w:rsid w:val="00BC5727"/>
    <w:rsid w:val="00BC6703"/>
    <w:rsid w:val="00BC7773"/>
    <w:rsid w:val="00BD0083"/>
    <w:rsid w:val="00BD0126"/>
    <w:rsid w:val="00BD2DAC"/>
    <w:rsid w:val="00BD3984"/>
    <w:rsid w:val="00BD62A5"/>
    <w:rsid w:val="00BE1773"/>
    <w:rsid w:val="00BE7984"/>
    <w:rsid w:val="00BF5414"/>
    <w:rsid w:val="00C00362"/>
    <w:rsid w:val="00C00AFB"/>
    <w:rsid w:val="00C0257F"/>
    <w:rsid w:val="00C02B69"/>
    <w:rsid w:val="00C106C9"/>
    <w:rsid w:val="00C1617D"/>
    <w:rsid w:val="00C24676"/>
    <w:rsid w:val="00C30D8C"/>
    <w:rsid w:val="00C336B1"/>
    <w:rsid w:val="00C36A59"/>
    <w:rsid w:val="00C37785"/>
    <w:rsid w:val="00C41109"/>
    <w:rsid w:val="00C42EFD"/>
    <w:rsid w:val="00C432B8"/>
    <w:rsid w:val="00C50DA9"/>
    <w:rsid w:val="00C511BC"/>
    <w:rsid w:val="00C56B4C"/>
    <w:rsid w:val="00C56F66"/>
    <w:rsid w:val="00C57F51"/>
    <w:rsid w:val="00C60752"/>
    <w:rsid w:val="00C60E9B"/>
    <w:rsid w:val="00C6205B"/>
    <w:rsid w:val="00C80C94"/>
    <w:rsid w:val="00C8134C"/>
    <w:rsid w:val="00C81483"/>
    <w:rsid w:val="00C83F0B"/>
    <w:rsid w:val="00C85FE4"/>
    <w:rsid w:val="00C911EB"/>
    <w:rsid w:val="00CA24A1"/>
    <w:rsid w:val="00CA5252"/>
    <w:rsid w:val="00CC3846"/>
    <w:rsid w:val="00CC52F4"/>
    <w:rsid w:val="00CD3EA4"/>
    <w:rsid w:val="00CD3F89"/>
    <w:rsid w:val="00CD489D"/>
    <w:rsid w:val="00CE37AE"/>
    <w:rsid w:val="00CF1605"/>
    <w:rsid w:val="00CF4941"/>
    <w:rsid w:val="00CF78FA"/>
    <w:rsid w:val="00D01282"/>
    <w:rsid w:val="00D025FC"/>
    <w:rsid w:val="00D0599D"/>
    <w:rsid w:val="00D1136B"/>
    <w:rsid w:val="00D128EB"/>
    <w:rsid w:val="00D142E6"/>
    <w:rsid w:val="00D14BA3"/>
    <w:rsid w:val="00D22F51"/>
    <w:rsid w:val="00D23118"/>
    <w:rsid w:val="00D273F4"/>
    <w:rsid w:val="00D330DE"/>
    <w:rsid w:val="00D34B78"/>
    <w:rsid w:val="00D34EA3"/>
    <w:rsid w:val="00D35918"/>
    <w:rsid w:val="00D45BA8"/>
    <w:rsid w:val="00D50F64"/>
    <w:rsid w:val="00D53EB9"/>
    <w:rsid w:val="00D56B15"/>
    <w:rsid w:val="00D63E8B"/>
    <w:rsid w:val="00D66745"/>
    <w:rsid w:val="00D66B8E"/>
    <w:rsid w:val="00D75653"/>
    <w:rsid w:val="00D811C6"/>
    <w:rsid w:val="00D836F8"/>
    <w:rsid w:val="00D8645B"/>
    <w:rsid w:val="00D90744"/>
    <w:rsid w:val="00D9218F"/>
    <w:rsid w:val="00D95F63"/>
    <w:rsid w:val="00D97542"/>
    <w:rsid w:val="00DB7B0F"/>
    <w:rsid w:val="00DC0FA1"/>
    <w:rsid w:val="00DC48CF"/>
    <w:rsid w:val="00DC5E6D"/>
    <w:rsid w:val="00DD1BE4"/>
    <w:rsid w:val="00DD39AC"/>
    <w:rsid w:val="00DD3E20"/>
    <w:rsid w:val="00DE21F6"/>
    <w:rsid w:val="00DE278F"/>
    <w:rsid w:val="00DE4935"/>
    <w:rsid w:val="00DE7508"/>
    <w:rsid w:val="00DF712D"/>
    <w:rsid w:val="00E04DE3"/>
    <w:rsid w:val="00E11EC4"/>
    <w:rsid w:val="00E139C7"/>
    <w:rsid w:val="00E14FA6"/>
    <w:rsid w:val="00E26BD7"/>
    <w:rsid w:val="00E26ED7"/>
    <w:rsid w:val="00E348DE"/>
    <w:rsid w:val="00E5376A"/>
    <w:rsid w:val="00E53914"/>
    <w:rsid w:val="00E563F7"/>
    <w:rsid w:val="00E600B8"/>
    <w:rsid w:val="00E601BE"/>
    <w:rsid w:val="00E61EC0"/>
    <w:rsid w:val="00E649B5"/>
    <w:rsid w:val="00E64EFC"/>
    <w:rsid w:val="00E65769"/>
    <w:rsid w:val="00E70672"/>
    <w:rsid w:val="00E74CF4"/>
    <w:rsid w:val="00E8419A"/>
    <w:rsid w:val="00E86F0D"/>
    <w:rsid w:val="00E91070"/>
    <w:rsid w:val="00E91660"/>
    <w:rsid w:val="00E970CC"/>
    <w:rsid w:val="00EA27A4"/>
    <w:rsid w:val="00EA3A7D"/>
    <w:rsid w:val="00EB1DA9"/>
    <w:rsid w:val="00EB2F21"/>
    <w:rsid w:val="00EC1305"/>
    <w:rsid w:val="00EC64E0"/>
    <w:rsid w:val="00EC6F35"/>
    <w:rsid w:val="00ED0F70"/>
    <w:rsid w:val="00ED1E9D"/>
    <w:rsid w:val="00ED2752"/>
    <w:rsid w:val="00ED6055"/>
    <w:rsid w:val="00EE0932"/>
    <w:rsid w:val="00EE16BC"/>
    <w:rsid w:val="00EE1F88"/>
    <w:rsid w:val="00EE6D84"/>
    <w:rsid w:val="00EF3F45"/>
    <w:rsid w:val="00EF6BF2"/>
    <w:rsid w:val="00EF6ECE"/>
    <w:rsid w:val="00F00325"/>
    <w:rsid w:val="00F01866"/>
    <w:rsid w:val="00F0195F"/>
    <w:rsid w:val="00F07008"/>
    <w:rsid w:val="00F103C4"/>
    <w:rsid w:val="00F120FF"/>
    <w:rsid w:val="00F14666"/>
    <w:rsid w:val="00F22667"/>
    <w:rsid w:val="00F24DB9"/>
    <w:rsid w:val="00F260EF"/>
    <w:rsid w:val="00F316B5"/>
    <w:rsid w:val="00F40B88"/>
    <w:rsid w:val="00F40C63"/>
    <w:rsid w:val="00F50EF0"/>
    <w:rsid w:val="00F515EA"/>
    <w:rsid w:val="00F620E7"/>
    <w:rsid w:val="00F668D6"/>
    <w:rsid w:val="00F73374"/>
    <w:rsid w:val="00F82A09"/>
    <w:rsid w:val="00F83CF8"/>
    <w:rsid w:val="00F86773"/>
    <w:rsid w:val="00F9287B"/>
    <w:rsid w:val="00F9337A"/>
    <w:rsid w:val="00F93A1E"/>
    <w:rsid w:val="00F977CB"/>
    <w:rsid w:val="00FA3C55"/>
    <w:rsid w:val="00FA609D"/>
    <w:rsid w:val="00FA6A83"/>
    <w:rsid w:val="00FA7B22"/>
    <w:rsid w:val="00FB4242"/>
    <w:rsid w:val="00FB6D80"/>
    <w:rsid w:val="00FC5478"/>
    <w:rsid w:val="00FC5BCB"/>
    <w:rsid w:val="00FC5E52"/>
    <w:rsid w:val="00FC7885"/>
    <w:rsid w:val="00FC7931"/>
    <w:rsid w:val="00FD1DE7"/>
    <w:rsid w:val="00FD396F"/>
    <w:rsid w:val="00FD6925"/>
    <w:rsid w:val="00FF41E5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red"/>
    </o:shapedefaults>
    <o:shapelayout v:ext="edit">
      <o:idmap v:ext="edit" data="1"/>
    </o:shapelayout>
  </w:shapeDefaults>
  <w:decimalSymbol w:val=","/>
  <w:listSeparator w:val=","/>
  <w15:chartTrackingRefBased/>
  <w15:docId w15:val="{1CB6370C-8B61-4D9B-BB15-681558C6B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D330DE"/>
    <w:pPr>
      <w:keepNext/>
      <w:numPr>
        <w:numId w:val="6"/>
      </w:numPr>
      <w:autoSpaceDE w:val="0"/>
      <w:autoSpaceDN w:val="0"/>
      <w:adjustRightInd w:val="0"/>
      <w:spacing w:before="240" w:after="120"/>
      <w:contextualSpacing/>
      <w:jc w:val="both"/>
      <w:outlineLvl w:val="0"/>
    </w:pPr>
    <w:rPr>
      <w:rFonts w:ascii="Arial" w:hAnsi="Arial" w:cs="Arial"/>
      <w:b/>
      <w:bCs/>
      <w:caps/>
      <w:color w:val="003264"/>
      <w:kern w:val="32"/>
      <w:lang w:val="es-ES"/>
    </w:rPr>
  </w:style>
  <w:style w:type="paragraph" w:styleId="Ttulo2">
    <w:name w:val="heading 2"/>
    <w:basedOn w:val="Ttulo1"/>
    <w:next w:val="Normal"/>
    <w:qFormat/>
    <w:rsid w:val="00D330DE"/>
    <w:pPr>
      <w:numPr>
        <w:ilvl w:val="1"/>
      </w:numPr>
      <w:outlineLvl w:val="1"/>
    </w:pPr>
    <w:rPr>
      <w:bCs w:val="0"/>
      <w:iCs/>
      <w:caps w:val="0"/>
    </w:rPr>
  </w:style>
  <w:style w:type="paragraph" w:styleId="Ttulo3">
    <w:name w:val="heading 3"/>
    <w:basedOn w:val="Normal"/>
    <w:next w:val="Normal"/>
    <w:qFormat/>
    <w:rsid w:val="00D330DE"/>
    <w:pPr>
      <w:keepNext/>
      <w:numPr>
        <w:ilvl w:val="2"/>
        <w:numId w:val="6"/>
      </w:numPr>
      <w:autoSpaceDE w:val="0"/>
      <w:autoSpaceDN w:val="0"/>
      <w:adjustRightInd w:val="0"/>
      <w:spacing w:before="180" w:after="120"/>
      <w:jc w:val="both"/>
      <w:outlineLvl w:val="2"/>
    </w:pPr>
    <w:rPr>
      <w:rFonts w:ascii="Arial" w:hAnsi="Arial" w:cs="Arial"/>
      <w:b/>
      <w:bCs/>
      <w:color w:val="003264"/>
      <w:lang w:val="es-ES"/>
    </w:rPr>
  </w:style>
  <w:style w:type="paragraph" w:styleId="Ttulo4">
    <w:name w:val="heading 4"/>
    <w:basedOn w:val="Normal"/>
    <w:next w:val="Normal"/>
    <w:qFormat/>
    <w:rsid w:val="00D330DE"/>
    <w:pPr>
      <w:keepLines/>
      <w:numPr>
        <w:ilvl w:val="3"/>
        <w:numId w:val="6"/>
      </w:numPr>
      <w:autoSpaceDE w:val="0"/>
      <w:autoSpaceDN w:val="0"/>
      <w:adjustRightInd w:val="0"/>
      <w:spacing w:before="240" w:after="60"/>
      <w:ind w:left="1049" w:hanging="1049"/>
      <w:jc w:val="both"/>
      <w:outlineLvl w:val="3"/>
    </w:pPr>
    <w:rPr>
      <w:rFonts w:ascii="Arial" w:hAnsi="Arial"/>
      <w:bCs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448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4482A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5448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F07008"/>
  </w:style>
  <w:style w:type="paragraph" w:styleId="Textoindependiente2">
    <w:name w:val="Body Text 2"/>
    <w:basedOn w:val="Normal"/>
    <w:rsid w:val="00963313"/>
    <w:pPr>
      <w:jc w:val="center"/>
    </w:pPr>
    <w:rPr>
      <w:b/>
      <w:sz w:val="28"/>
      <w:szCs w:val="20"/>
      <w:lang w:val="es-BO"/>
    </w:rPr>
  </w:style>
  <w:style w:type="paragraph" w:customStyle="1" w:styleId="GRAFICO2">
    <w:name w:val="GRAFICO2"/>
    <w:basedOn w:val="Normal"/>
    <w:next w:val="Normal"/>
    <w:rsid w:val="00D330DE"/>
    <w:pPr>
      <w:autoSpaceDE w:val="0"/>
      <w:autoSpaceDN w:val="0"/>
      <w:adjustRightInd w:val="0"/>
      <w:spacing w:before="240" w:after="240"/>
      <w:jc w:val="center"/>
    </w:pPr>
    <w:rPr>
      <w:rFonts w:ascii="Arial" w:hAnsi="Arial"/>
      <w:b/>
      <w:color w:val="003264"/>
      <w:lang w:val="es-BO"/>
    </w:rPr>
  </w:style>
  <w:style w:type="paragraph" w:customStyle="1" w:styleId="Piedepgina1">
    <w:name w:val="Pie de página1"/>
    <w:basedOn w:val="Normal"/>
    <w:rsid w:val="00EB1DA9"/>
    <w:pPr>
      <w:autoSpaceDE w:val="0"/>
      <w:autoSpaceDN w:val="0"/>
      <w:adjustRightInd w:val="0"/>
      <w:spacing w:after="120"/>
      <w:jc w:val="both"/>
    </w:pPr>
    <w:rPr>
      <w:rFonts w:ascii="Arial" w:hAnsi="Arial"/>
      <w:sz w:val="16"/>
      <w:lang w:val="es-ES"/>
    </w:rPr>
  </w:style>
  <w:style w:type="paragraph" w:customStyle="1" w:styleId="EstiloNegritaVerdeazulado">
    <w:name w:val="Estilo Negrita Verde azulado"/>
    <w:basedOn w:val="Normal"/>
    <w:rsid w:val="00F0195F"/>
    <w:pPr>
      <w:autoSpaceDE w:val="0"/>
      <w:autoSpaceDN w:val="0"/>
      <w:adjustRightInd w:val="0"/>
      <w:spacing w:after="120"/>
      <w:ind w:left="720"/>
      <w:jc w:val="both"/>
    </w:pPr>
    <w:rPr>
      <w:rFonts w:ascii="Arial" w:hAnsi="Arial"/>
      <w:b/>
      <w:bCs/>
      <w:color w:val="003366"/>
      <w:szCs w:val="20"/>
      <w:lang w:val="es-ES"/>
    </w:rPr>
  </w:style>
  <w:style w:type="paragraph" w:styleId="Textodeglobo">
    <w:name w:val="Balloon Text"/>
    <w:basedOn w:val="Normal"/>
    <w:link w:val="TextodegloboCar"/>
    <w:rsid w:val="00B228E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B228EC"/>
    <w:rPr>
      <w:rFonts w:ascii="Tahoma" w:hAnsi="Tahoma" w:cs="Tahoma"/>
      <w:sz w:val="16"/>
      <w:szCs w:val="16"/>
      <w:lang w:val="es-ES_tradnl" w:eastAsia="en-US"/>
    </w:rPr>
  </w:style>
  <w:style w:type="paragraph" w:styleId="Textoindependiente">
    <w:name w:val="Body Text"/>
    <w:basedOn w:val="Normal"/>
    <w:link w:val="TextoindependienteCar"/>
    <w:rsid w:val="00470154"/>
    <w:pPr>
      <w:spacing w:after="120"/>
    </w:pPr>
  </w:style>
  <w:style w:type="character" w:customStyle="1" w:styleId="TextoindependienteCar">
    <w:name w:val="Texto independiente Car"/>
    <w:link w:val="Textoindependiente"/>
    <w:rsid w:val="00470154"/>
    <w:rPr>
      <w:sz w:val="24"/>
      <w:szCs w:val="24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0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383C6-64F8-4CC3-B0B5-58BC9E1E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</vt:lpstr>
    </vt:vector>
  </TitlesOfParts>
  <Company>PETROBRAS S.A.</Company>
  <LinksUpToDate>false</LinksUpToDate>
  <CharactersWithSpaces>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</dc:title>
  <dc:subject/>
  <dc:creator>PETROBRAS S.A.</dc:creator>
  <cp:keywords/>
  <cp:lastModifiedBy>Danitza Ivana Mendez Campos</cp:lastModifiedBy>
  <cp:revision>3</cp:revision>
  <cp:lastPrinted>2016-10-24T12:18:00Z</cp:lastPrinted>
  <dcterms:created xsi:type="dcterms:W3CDTF">2017-05-05T19:02:00Z</dcterms:created>
  <dcterms:modified xsi:type="dcterms:W3CDTF">2017-05-17T20:15:00Z</dcterms:modified>
</cp:coreProperties>
</file>