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31" w:rsidRPr="00535ED3" w:rsidRDefault="00454A31" w:rsidP="00B70251">
      <w:pPr>
        <w:jc w:val="center"/>
        <w:rPr>
          <w:rFonts w:ascii="Verdana" w:hAnsi="Verdana" w:cs="Calibri"/>
          <w:b/>
          <w:sz w:val="16"/>
          <w:szCs w:val="16"/>
        </w:rPr>
      </w:pPr>
      <w:bookmarkStart w:id="0" w:name="_GoBack"/>
      <w:bookmarkEnd w:id="0"/>
      <w:r w:rsidRPr="00535ED3">
        <w:rPr>
          <w:rFonts w:ascii="Verdana" w:hAnsi="Verdana" w:cs="Calibri"/>
          <w:b/>
          <w:sz w:val="16"/>
          <w:szCs w:val="16"/>
        </w:rPr>
        <w:t xml:space="preserve">ANEXO </w:t>
      </w:r>
      <w:r w:rsidR="00B43487">
        <w:rPr>
          <w:rFonts w:ascii="Verdana" w:hAnsi="Verdana" w:cs="Calibri"/>
          <w:b/>
          <w:sz w:val="16"/>
          <w:szCs w:val="16"/>
        </w:rPr>
        <w:t>4</w:t>
      </w:r>
    </w:p>
    <w:p w:rsidR="00015E39" w:rsidRPr="00535ED3" w:rsidRDefault="00E962F6" w:rsidP="00B70251">
      <w:pPr>
        <w:jc w:val="center"/>
        <w:rPr>
          <w:rFonts w:ascii="Verdana" w:hAnsi="Verdana" w:cs="Calibri"/>
          <w:b/>
          <w:sz w:val="16"/>
          <w:szCs w:val="16"/>
        </w:rPr>
      </w:pPr>
      <w:r w:rsidRPr="00535ED3">
        <w:rPr>
          <w:rFonts w:ascii="Verdana" w:hAnsi="Verdana" w:cs="Calibri"/>
          <w:b/>
          <w:sz w:val="16"/>
          <w:szCs w:val="16"/>
        </w:rPr>
        <w:t>ESPECIFICACIONES TÉCNICAS</w:t>
      </w:r>
    </w:p>
    <w:p w:rsidR="007E1D97" w:rsidRPr="00535ED3" w:rsidRDefault="00B43487" w:rsidP="00B70251">
      <w:pPr>
        <w:jc w:val="center"/>
        <w:rPr>
          <w:rFonts w:ascii="Verdana" w:hAnsi="Verdana" w:cs="Calibri"/>
          <w:b/>
          <w:sz w:val="16"/>
          <w:szCs w:val="16"/>
        </w:rPr>
      </w:pPr>
      <w:r>
        <w:rPr>
          <w:rFonts w:ascii="Verdana" w:hAnsi="Verdana" w:cs="Calibri"/>
          <w:b/>
          <w:sz w:val="16"/>
          <w:szCs w:val="16"/>
        </w:rPr>
        <w:t>DATA BOOK</w:t>
      </w:r>
    </w:p>
    <w:p w:rsidR="007E1D97" w:rsidRPr="00535ED3" w:rsidRDefault="007E1D97" w:rsidP="00B70251">
      <w:pPr>
        <w:jc w:val="both"/>
        <w:rPr>
          <w:rFonts w:ascii="Verdana" w:hAnsi="Verdana" w:cs="Calibri"/>
          <w:b/>
          <w:sz w:val="16"/>
          <w:szCs w:val="16"/>
        </w:rPr>
      </w:pPr>
    </w:p>
    <w:p w:rsidR="007E1D97" w:rsidRPr="00B43487" w:rsidRDefault="00B43487" w:rsidP="00B70251">
      <w:pPr>
        <w:jc w:val="both"/>
        <w:rPr>
          <w:rFonts w:ascii="Verdana" w:hAnsi="Verdana" w:cs="Calibri"/>
          <w:b/>
          <w:sz w:val="16"/>
          <w:szCs w:val="16"/>
        </w:rPr>
      </w:pPr>
      <w:r w:rsidRPr="00B43487">
        <w:rPr>
          <w:rFonts w:ascii="Verdana" w:hAnsi="Verdana" w:cs="Vijaya"/>
          <w:b/>
          <w:sz w:val="16"/>
          <w:szCs w:val="16"/>
        </w:rPr>
        <w:t>ELABORACIÓN DE DATA BOOK</w:t>
      </w:r>
    </w:p>
    <w:p w:rsidR="00B43487" w:rsidRPr="00153C1B" w:rsidRDefault="00B43487" w:rsidP="00B43487">
      <w:pPr>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Comprende la elaboración y entrega del Data Book, documento que contiene la información técnica de la obra, registros, planos de la obra y otros que se mencionan en el procedimiento de ejecución.</w:t>
      </w:r>
    </w:p>
    <w:p w:rsidR="00B43487" w:rsidRPr="00153C1B" w:rsidRDefault="00B43487" w:rsidP="00B43487">
      <w:pPr>
        <w:autoSpaceDE w:val="0"/>
        <w:autoSpaceDN w:val="0"/>
        <w:adjustRightInd w:val="0"/>
        <w:spacing w:line="220" w:lineRule="atLeast"/>
        <w:jc w:val="both"/>
        <w:rPr>
          <w:rFonts w:ascii="Verdana" w:hAnsi="Verdana" w:cs="Vijaya"/>
          <w:bCs/>
          <w:color w:val="000000"/>
          <w:sz w:val="16"/>
          <w:szCs w:val="18"/>
          <w:lang w:eastAsia="es-BO"/>
        </w:rPr>
      </w:pPr>
    </w:p>
    <w:p w:rsidR="00B43487" w:rsidRPr="00153C1B" w:rsidRDefault="00B43487" w:rsidP="00B43487">
      <w:pPr>
        <w:tabs>
          <w:tab w:val="left" w:pos="426"/>
        </w:tabs>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B43487" w:rsidRPr="00153C1B" w:rsidRDefault="00B43487" w:rsidP="00B43487">
      <w:pPr>
        <w:pStyle w:val="Textoindependiente"/>
        <w:spacing w:after="0" w:line="220" w:lineRule="atLeast"/>
        <w:jc w:val="both"/>
        <w:rPr>
          <w:rFonts w:ascii="Verdana" w:hAnsi="Verdana" w:cs="Vijaya"/>
          <w:bCs/>
          <w:color w:val="000000"/>
          <w:sz w:val="16"/>
          <w:szCs w:val="18"/>
          <w:lang w:eastAsia="es-BO"/>
        </w:rPr>
      </w:pPr>
    </w:p>
    <w:p w:rsidR="00B43487" w:rsidRPr="00153C1B" w:rsidRDefault="00B43487" w:rsidP="00B43487">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plazo para la revisión del Data Book por YPFB será de 5 días hábiles, por lo que la empresa deberá prever con antelación la presentación de este documento, requisito para la entrega definitiva.</w:t>
      </w:r>
    </w:p>
    <w:p w:rsidR="00B43487" w:rsidRPr="00153C1B" w:rsidRDefault="00B43487" w:rsidP="00B43487">
      <w:pPr>
        <w:pStyle w:val="Textoindependiente"/>
        <w:spacing w:after="0" w:line="220" w:lineRule="atLeast"/>
        <w:jc w:val="both"/>
        <w:rPr>
          <w:rFonts w:ascii="Verdana" w:hAnsi="Verdana" w:cs="Vijaya"/>
          <w:bCs/>
          <w:color w:val="000000"/>
          <w:sz w:val="16"/>
          <w:szCs w:val="18"/>
          <w:lang w:eastAsia="es-BO"/>
        </w:rPr>
      </w:pPr>
    </w:p>
    <w:p w:rsidR="00B43487" w:rsidRPr="00153C1B" w:rsidRDefault="00B43487" w:rsidP="00B43487">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B43487" w:rsidRPr="00153C1B" w:rsidRDefault="00B43487" w:rsidP="00B43487">
      <w:pPr>
        <w:pStyle w:val="Textoindependiente"/>
        <w:spacing w:after="0" w:line="220" w:lineRule="atLeast"/>
        <w:jc w:val="both"/>
        <w:rPr>
          <w:rFonts w:ascii="Verdana" w:hAnsi="Verdana" w:cs="Vijaya"/>
          <w:bCs/>
          <w:color w:val="000000"/>
          <w:sz w:val="16"/>
          <w:szCs w:val="18"/>
          <w:lang w:eastAsia="es-BO"/>
        </w:rPr>
      </w:pPr>
    </w:p>
    <w:p w:rsidR="00B43487" w:rsidRDefault="00B43487" w:rsidP="00B43487">
      <w:pPr>
        <w:pStyle w:val="Prrafodelista"/>
        <w:spacing w:line="220" w:lineRule="atLeast"/>
        <w:ind w:left="0"/>
        <w:contextualSpacing/>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contenido mínimo del documento esta descrito a continuación, debiendo en caso de no haberse realizado la actividad mencionada incluir la separación en la carpeta del proyecto indicando que el punto no corresponde.</w:t>
      </w:r>
    </w:p>
    <w:p w:rsidR="002B7A60" w:rsidRDefault="002B7A60" w:rsidP="00C123CF">
      <w:pPr>
        <w:jc w:val="both"/>
        <w:rPr>
          <w:rFonts w:ascii="Verdana" w:hAnsi="Verdana" w:cs="Verdana"/>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0"/>
        <w:gridCol w:w="2380"/>
      </w:tblGrid>
      <w:tr w:rsidR="00B43487" w:rsidRPr="00B43487" w:rsidTr="00B43487">
        <w:trPr>
          <w:trHeight w:val="284"/>
        </w:trPr>
        <w:tc>
          <w:tcPr>
            <w:tcW w:w="5000" w:type="pct"/>
            <w:gridSpan w:val="2"/>
            <w:shd w:val="clear" w:color="auto" w:fill="B4C6E7"/>
            <w:vAlign w:val="center"/>
          </w:tcPr>
          <w:p w:rsidR="00B43487" w:rsidRPr="00B43487" w:rsidRDefault="00B43487" w:rsidP="00B43487">
            <w:pPr>
              <w:pStyle w:val="Prrafodelista"/>
              <w:autoSpaceDE w:val="0"/>
              <w:autoSpaceDN w:val="0"/>
              <w:adjustRightInd w:val="0"/>
              <w:ind w:left="0"/>
              <w:contextualSpacing/>
              <w:rPr>
                <w:rFonts w:ascii="Verdana" w:hAnsi="Verdana" w:cs="Vijaya"/>
                <w:b/>
                <w:iCs/>
                <w:sz w:val="16"/>
                <w:szCs w:val="16"/>
                <w:lang w:val="es-BO"/>
              </w:rPr>
            </w:pPr>
            <w:r w:rsidRPr="00B43487">
              <w:rPr>
                <w:rFonts w:ascii="Verdana" w:hAnsi="Verdana" w:cs="Vijaya"/>
                <w:b/>
                <w:iCs/>
                <w:sz w:val="16"/>
                <w:szCs w:val="16"/>
                <w:lang w:val="es-BO"/>
              </w:rPr>
              <w:t>TOMO I - DOCUMENTACIÓN ADMINISTRATIVA</w:t>
            </w:r>
          </w:p>
        </w:tc>
      </w:tr>
      <w:tr w:rsidR="00B43487" w:rsidRPr="00B43487" w:rsidTr="00B43487">
        <w:trPr>
          <w:trHeight w:val="284"/>
        </w:trPr>
        <w:tc>
          <w:tcPr>
            <w:tcW w:w="3832" w:type="pct"/>
            <w:shd w:val="clear" w:color="auto" w:fill="B4C6E7"/>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DOCUMENTO</w:t>
            </w:r>
          </w:p>
        </w:tc>
        <w:tc>
          <w:tcPr>
            <w:tcW w:w="1168" w:type="pct"/>
            <w:shd w:val="clear" w:color="auto" w:fill="B4C6E7"/>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REQUERIMIENTO</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Registro Vigente de la empresa contratista en la Agencia Nacional de Hidrocarburos en la categoría de Instaladores Industriales o Redes de Gas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Nota de Adjudicación</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Contrato y Protocolización de Contrato</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Autorización de municipio para realizar los trabajos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Cronograma Inicial de Obra</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Cronograma Final de Obra</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Especificaciones Técnicas con firmas de elaborado, revisado  y aprobado</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Memorándum de designación de Fiscal</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Memorándum de designación de Supervisor</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Carta de Orden de Proceder</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Libro de órdenes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Conformidad del  municipio y otras entidades sobre las obras civiles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Orden de Trabajo (Si corresponde)</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Orden de Cambio (Si corresponde)</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Contrato Modificatorio (Si corresponde)</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Garantías de cumplimiento de contrato y todas sus renovaciones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Garantías de correcta inversión de anticipo y todas sus renovaciones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Seguro de obra y todas sus renovaciones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Seguro de responsabilidad civil y todas sus renovaciones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Seguros contra accidentes del personal de obra y todas sus renovaciones</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Memorándum de designación de comisión de recepción</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 xml:space="preserve">Acta de entrega provisional </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Acta de entrega definitiva</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lastRenderedPageBreak/>
              <w:t>DOCUMENTO</w:t>
            </w:r>
          </w:p>
        </w:tc>
        <w:tc>
          <w:tcPr>
            <w:tcW w:w="1168"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REQUERIMIENTO</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 xml:space="preserve">Planillas parciales de avance y cierre </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Informes de fiscal y supervisor por solicitudes de pago parcial y final</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 xml:space="preserve">Cartas de notificación de corte a la ANH y usuario industrial afectados </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Informe de interconexión (UDOM)</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Informe/formulario de habilitación de red primaria</w:t>
            </w:r>
          </w:p>
          <w:p w:rsidR="00B43487" w:rsidRPr="00B43487" w:rsidRDefault="00B43487" w:rsidP="00B43487">
            <w:pPr>
              <w:pStyle w:val="Prrafodelista"/>
              <w:autoSpaceDE w:val="0"/>
              <w:autoSpaceDN w:val="0"/>
              <w:adjustRightInd w:val="0"/>
              <w:ind w:left="0"/>
              <w:contextualSpacing/>
              <w:rPr>
                <w:rFonts w:ascii="Verdana" w:hAnsi="Verdana" w:cs="Vijaya"/>
                <w:iCs/>
                <w:sz w:val="16"/>
                <w:szCs w:val="16"/>
                <w:lang w:val="es-BO"/>
              </w:rPr>
            </w:pPr>
            <w:r w:rsidRPr="00B43487">
              <w:rPr>
                <w:rFonts w:ascii="Verdana" w:hAnsi="Verdana" w:cs="Vijaya"/>
                <w:iCs/>
                <w:sz w:val="16"/>
                <w:szCs w:val="16"/>
                <w:lang w:val="es-BO"/>
              </w:rPr>
              <w:t>(Si corresponde)</w:t>
            </w:r>
          </w:p>
        </w:tc>
        <w:tc>
          <w:tcPr>
            <w:tcW w:w="1168" w:type="pct"/>
            <w:shd w:val="clear" w:color="auto" w:fill="auto"/>
            <w:vAlign w:val="center"/>
          </w:tcPr>
          <w:p w:rsidR="00B43487" w:rsidRPr="00B43487" w:rsidRDefault="00B43487" w:rsidP="00B43487">
            <w:pPr>
              <w:pStyle w:val="Prrafodelista"/>
              <w:autoSpaceDE w:val="0"/>
              <w:autoSpaceDN w:val="0"/>
              <w:adjustRightInd w:val="0"/>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TOMO II - DOCUMENTACIÓN TÉCNICA</w:t>
            </w:r>
          </w:p>
        </w:tc>
      </w:tr>
      <w:tr w:rsidR="00B43487" w:rsidRPr="00B43487" w:rsidTr="0056691E">
        <w:trPr>
          <w:trHeight w:val="284"/>
        </w:trPr>
        <w:tc>
          <w:tcPr>
            <w:tcW w:w="3832"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DOCUMENTO</w:t>
            </w:r>
          </w:p>
        </w:tc>
        <w:tc>
          <w:tcPr>
            <w:tcW w:w="1168"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REQUERIMIENTO</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PROCEDIMIENTOS DE LA EMPRESA CONTRATISTA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 xml:space="preserve">Procedimiento de cada uno de los ítems listados en los volúmenes de obra </w:t>
            </w:r>
          </w:p>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(Aprobado por el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 xml:space="preserve">Original </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PERSONAL</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Formulario C de la contratista de todo el personal clave presentado en la propuesta adjunto respaldo de la formación requerida</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Informe de autorización de Cambio de personal clave (Si Corresponde)</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ALMACENES</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Documento de salida de materiales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Registros de inspección de material provisto por YPFB</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Registro de inspección de accesorios provistos a YPFB</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Documento de devolución de materiales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Informe de balance final de tubería</w:t>
            </w:r>
          </w:p>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(Aprobado por el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MATERIALES Y EQUIPOS</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 xml:space="preserve">Especificaciones técnicas de tubería y accesorios utilizados en la obra. </w:t>
            </w:r>
          </w:p>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(solo para ítems que CONTRATISTA haga provisión)</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 xml:space="preserve">Certificado de calidad de tubería revestida </w:t>
            </w:r>
          </w:p>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(solo para ítems que CONTRATISTA haga provisión)</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 xml:space="preserve">Certificado de calidad de accesorios accesos mecánicos </w:t>
            </w:r>
          </w:p>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(solo para ítems que CONTRATISTA haga provisión)</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 xml:space="preserve">Certificado de calibración y calidad de equipos y materiales de soldadura no mayor a un año </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Certificado de calibración de equipos y herramientas para inspección visual no mayor a 1 año</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Certificado de calidad de materiales para revestimiento</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Certificado de calidad de pintura de revestimiento</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Certificado de la Grúa</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CATÁLOGOS</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Catálogo y Manual de válvulas y otros accesorios provistos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Catálogo y Manual de mantas termo contraíbles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Catálogo de electrodos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PLANOS</w:t>
            </w:r>
          </w:p>
        </w:tc>
      </w:tr>
      <w:tr w:rsidR="00B43487" w:rsidRPr="00B43487" w:rsidTr="00B43487">
        <w:trPr>
          <w:trHeight w:val="284"/>
        </w:trPr>
        <w:tc>
          <w:tcPr>
            <w:tcW w:w="3832"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iCs/>
                <w:sz w:val="16"/>
                <w:szCs w:val="16"/>
                <w:lang w:val="es-BO"/>
              </w:rPr>
            </w:pPr>
            <w:r w:rsidRPr="00B43487">
              <w:rPr>
                <w:rFonts w:ascii="Verdana" w:hAnsi="Verdana" w:cs="Vijaya"/>
                <w:iCs/>
                <w:sz w:val="16"/>
                <w:szCs w:val="16"/>
                <w:lang w:val="es-BO"/>
              </w:rPr>
              <w:t>Informe de conformidad de SIG</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sz w:val="16"/>
                <w:szCs w:val="16"/>
              </w:rPr>
            </w:pPr>
            <w:r w:rsidRPr="00B43487">
              <w:rPr>
                <w:rFonts w:ascii="Verdana" w:hAnsi="Verdana" w:cs="Vijaya"/>
                <w:iCs/>
                <w:sz w:val="16"/>
                <w:szCs w:val="16"/>
                <w:lang w:val="es-BO"/>
              </w:rPr>
              <w:t>Plano As Built impreso y en formato digital.</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Plano de Detalles Constructivos de Cruces Especiales y otros.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OBRA CIVIL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ensayos de compactación de suelos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DOCUMENTO</w:t>
            </w:r>
          </w:p>
        </w:tc>
        <w:tc>
          <w:tcPr>
            <w:tcW w:w="1168"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REQUERIMIENTO</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lastRenderedPageBreak/>
              <w:t>SOLDADURA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sz w:val="16"/>
                <w:szCs w:val="16"/>
              </w:rPr>
            </w:pPr>
            <w:r w:rsidRPr="00B43487">
              <w:rPr>
                <w:rFonts w:ascii="Verdana" w:hAnsi="Verdana" w:cs="Vijaya"/>
                <w:iCs/>
                <w:sz w:val="16"/>
                <w:szCs w:val="16"/>
                <w:lang w:val="es-BO"/>
              </w:rPr>
              <w:t>Certificado de Inspector de Soldadura</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Procedimiento de Soldadura perteneciente a la empresa revisado por un Inspector de Soldadura Nivel II (WPS)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sz w:val="16"/>
                <w:szCs w:val="16"/>
              </w:rPr>
            </w:pPr>
            <w:r w:rsidRPr="00B43487">
              <w:rPr>
                <w:rFonts w:ascii="Verdana" w:hAnsi="Verdana" w:cs="Vijaya"/>
                <w:iCs/>
                <w:sz w:val="16"/>
                <w:szCs w:val="16"/>
                <w:lang w:val="es-BO"/>
              </w:rPr>
              <w:t>Calificación del Procedimiento de Soldadura de la empresa (PQR)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sz w:val="16"/>
                <w:szCs w:val="16"/>
              </w:rPr>
            </w:pPr>
            <w:r w:rsidRPr="00B43487">
              <w:rPr>
                <w:rFonts w:ascii="Verdana" w:hAnsi="Verdana" w:cs="Vijaya"/>
                <w:iCs/>
                <w:sz w:val="16"/>
                <w:szCs w:val="16"/>
                <w:lang w:val="es-BO"/>
              </w:rPr>
              <w:t>Calificación de soldador para el procedimiento de soldadura (WPQ)</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 de inspección visual de soldadura elaborado por el inspector de soldadura</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Welding Map</w:t>
            </w:r>
          </w:p>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REVESTIMIENTO</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 de rugosidad (De acuerdo a especificación)</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 de Inspección por Holliday  (En todas las etapas aplicadas)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 de reparaciones (Que describa materiales utilizados y ubicación de cada reparación)</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 de pruebas de adherencia (De acuerdo a especificación)</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PRUEBA HIDROSTÁTICA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Procedimiento, Memoria de cálculo y perfil de presiones de prueba (Aprobado por el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Procedimiento y registros de pruebas de válvulas. (Aprobado por el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Carta de notificación de prueba a la ANH</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laboratorio de análisis del agua usada en la prueba (antes y después)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calibración de balanza de peso muerto</w:t>
            </w:r>
          </w:p>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(Emitido por IBMETRO o entidad acreditada, vigente no mayor a 1 año)</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calibración de instrumentos de medición de temperatura y presión utilizados (Emitido por IBMETRO o entidad acreditada, vigente no mayor a 1 año)</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Plan de gestión de residuos (Aprobado por el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Informe de limpieza y calibrado ( Aprobado por el supervisor, Incluye entrega de placa calibradora)</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 xml:space="preserve">Informe de la Prueba Hidrostática (Aprobado por el Supervisor)  </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Informe de secado (Aprobado por el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Cartilla(s) de prueba hidrostática (Firmado por supervisor y personal de la ANH)</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RADIOGRAFÍA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en radiografía Nivel II ASNT o equivalente</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Licencia del IBTEN para el manejo de materiales radioactivos (Vigente)</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calidad de equipos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calibración de equipos de seguridad (Vigente)</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Informe de inspección radiográfica con detalle de juntas aprobadas y reprobadas (Incluye entrega de placas radiográficas, las mismas deberán estar incluidas en una carpeta con separadores individuales)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B43487">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TINTES PENETRANTES</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inspector en tintes penetrantes Nivel II o equivalente</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Certificación de Materiales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Calidad de Tintes Penetrantes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B43487">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Informe y registro de inspección por tintes penetrantes con detalle de juntas aprobadas y reprobadas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bl>
    <w:p w:rsidR="00B43487" w:rsidRDefault="00B43487" w:rsidP="00B70251">
      <w:pPr>
        <w:jc w:val="both"/>
        <w:rPr>
          <w:rFonts w:ascii="Verdana" w:hAnsi="Verdana" w:cs="Verdana"/>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0"/>
        <w:gridCol w:w="2380"/>
      </w:tblGrid>
      <w:tr w:rsidR="00B43487" w:rsidRPr="00B43487" w:rsidTr="0056691E">
        <w:trPr>
          <w:trHeight w:val="284"/>
        </w:trPr>
        <w:tc>
          <w:tcPr>
            <w:tcW w:w="3832"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DOCUMENTO</w:t>
            </w:r>
          </w:p>
        </w:tc>
        <w:tc>
          <w:tcPr>
            <w:tcW w:w="1168" w:type="pct"/>
            <w:shd w:val="clear" w:color="auto" w:fill="B4C6E7"/>
            <w:vAlign w:val="center"/>
          </w:tcPr>
          <w:p w:rsidR="00B43487" w:rsidRPr="00B43487" w:rsidRDefault="00B43487" w:rsidP="0056691E">
            <w:pPr>
              <w:pStyle w:val="Prrafodelista"/>
              <w:autoSpaceDE w:val="0"/>
              <w:autoSpaceDN w:val="0"/>
              <w:adjustRightInd w:val="0"/>
              <w:ind w:left="0"/>
              <w:contextualSpacing/>
              <w:jc w:val="center"/>
              <w:rPr>
                <w:rFonts w:ascii="Verdana" w:hAnsi="Verdana" w:cs="Vijaya"/>
                <w:b/>
                <w:iCs/>
                <w:sz w:val="16"/>
                <w:szCs w:val="16"/>
                <w:lang w:val="es-BO"/>
              </w:rPr>
            </w:pPr>
            <w:r w:rsidRPr="00B43487">
              <w:rPr>
                <w:rFonts w:ascii="Verdana" w:hAnsi="Verdana" w:cs="Vijaya"/>
                <w:b/>
                <w:iCs/>
                <w:sz w:val="16"/>
                <w:szCs w:val="16"/>
                <w:lang w:val="es-BO"/>
              </w:rPr>
              <w:t>REQUERIMIENTO</w:t>
            </w:r>
          </w:p>
        </w:tc>
      </w:tr>
      <w:tr w:rsidR="00B43487" w:rsidRPr="00B43487" w:rsidTr="0056691E">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lastRenderedPageBreak/>
              <w:t>PARTÍCULAS MAGNÉTICAS</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inspector en Partículas Magnéticas Nivel II o equivalente</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Certificación de Materiales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Certificado de Calidad de Partículas Magnéticas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Informe y registro de inspección por partículas magnéticas con detalle de juntas aprobadas y reprobadas</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56691E">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REGISTROS DE OBRA</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Reportes Diarios de Obra ( Registro fotográfico, y avance por ítems %, aprobado por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Registros de Calidad</w:t>
            </w:r>
          </w:p>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 Según especificaciones, Procedimientos y solicitud de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Original</w:t>
            </w:r>
          </w:p>
        </w:tc>
      </w:tr>
      <w:tr w:rsidR="00B43487" w:rsidRPr="00B43487" w:rsidTr="0056691E">
        <w:trPr>
          <w:trHeight w:val="284"/>
        </w:trPr>
        <w:tc>
          <w:tcPr>
            <w:tcW w:w="5000" w:type="pct"/>
            <w:gridSpan w:val="2"/>
            <w:shd w:val="clear" w:color="auto" w:fill="B4C6E7"/>
            <w:vAlign w:val="center"/>
          </w:tcPr>
          <w:p w:rsidR="00B43487" w:rsidRPr="00B43487" w:rsidRDefault="00B43487" w:rsidP="0056691E">
            <w:pPr>
              <w:pStyle w:val="Prrafodelista"/>
              <w:autoSpaceDE w:val="0"/>
              <w:autoSpaceDN w:val="0"/>
              <w:adjustRightInd w:val="0"/>
              <w:spacing w:line="220" w:lineRule="atLeast"/>
              <w:ind w:left="0"/>
              <w:contextualSpacing/>
              <w:rPr>
                <w:rFonts w:ascii="Verdana" w:hAnsi="Verdana" w:cs="Vijaya"/>
                <w:b/>
                <w:iCs/>
                <w:sz w:val="16"/>
                <w:szCs w:val="16"/>
                <w:lang w:val="es-BO"/>
              </w:rPr>
            </w:pPr>
            <w:r w:rsidRPr="00B43487">
              <w:rPr>
                <w:rFonts w:ascii="Verdana" w:hAnsi="Verdana" w:cs="Vijaya"/>
                <w:b/>
                <w:iCs/>
                <w:sz w:val="16"/>
                <w:szCs w:val="16"/>
                <w:lang w:val="es-BO"/>
              </w:rPr>
              <w:t>SALUD SEGURIDAD Y MEDIO AMBIENTE</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PHSO (Aprobado por la unidad de seguridad industrial)</w:t>
            </w:r>
          </w:p>
        </w:tc>
        <w:tc>
          <w:tcPr>
            <w:tcW w:w="1168" w:type="pct"/>
            <w:shd w:val="clear" w:color="auto" w:fill="auto"/>
            <w:vAlign w:val="center"/>
          </w:tcPr>
          <w:p w:rsidR="00B43487" w:rsidRPr="00B43487" w:rsidRDefault="00B43487" w:rsidP="0056691E">
            <w:pPr>
              <w:jc w:val="center"/>
              <w:rPr>
                <w:rFonts w:ascii="Verdana" w:hAnsi="Verdana"/>
                <w:sz w:val="16"/>
                <w:szCs w:val="16"/>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Registros de inspecciones a equipos y herramientas (Aprobado por el Supervisor)</w:t>
            </w:r>
          </w:p>
        </w:tc>
        <w:tc>
          <w:tcPr>
            <w:tcW w:w="1168" w:type="pct"/>
            <w:shd w:val="clear" w:color="auto" w:fill="auto"/>
            <w:vAlign w:val="center"/>
          </w:tcPr>
          <w:p w:rsidR="00B43487" w:rsidRPr="00B43487" w:rsidRDefault="00B43487" w:rsidP="0056691E">
            <w:pPr>
              <w:jc w:val="center"/>
              <w:rPr>
                <w:rFonts w:ascii="Verdana" w:hAnsi="Verdana"/>
                <w:sz w:val="16"/>
                <w:szCs w:val="16"/>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 de incidentes y acciones correctivas</w:t>
            </w:r>
          </w:p>
        </w:tc>
        <w:tc>
          <w:tcPr>
            <w:tcW w:w="1168" w:type="pct"/>
            <w:shd w:val="clear" w:color="auto" w:fill="auto"/>
            <w:vAlign w:val="center"/>
          </w:tcPr>
          <w:p w:rsidR="00B43487" w:rsidRPr="00B43487" w:rsidRDefault="00B43487" w:rsidP="0056691E">
            <w:pPr>
              <w:jc w:val="center"/>
              <w:rPr>
                <w:rFonts w:ascii="Verdana" w:hAnsi="Verdana"/>
                <w:sz w:val="16"/>
                <w:szCs w:val="16"/>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Plan y registro de capacitaciones y simulacros durante obra (Aprobado por el Supervisor)</w:t>
            </w:r>
          </w:p>
        </w:tc>
        <w:tc>
          <w:tcPr>
            <w:tcW w:w="1168" w:type="pct"/>
            <w:shd w:val="clear" w:color="auto" w:fill="auto"/>
            <w:vAlign w:val="center"/>
          </w:tcPr>
          <w:p w:rsidR="00B43487" w:rsidRPr="00B43487" w:rsidRDefault="00B43487" w:rsidP="0056691E">
            <w:pPr>
              <w:jc w:val="center"/>
              <w:rPr>
                <w:rFonts w:ascii="Verdana" w:hAnsi="Verdana"/>
                <w:sz w:val="16"/>
                <w:szCs w:val="16"/>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 de gestión de residuos de obra (Aprobado por la unidad de medio ambiente)</w:t>
            </w:r>
          </w:p>
        </w:tc>
        <w:tc>
          <w:tcPr>
            <w:tcW w:w="1168" w:type="pct"/>
            <w:shd w:val="clear" w:color="auto" w:fill="auto"/>
            <w:vAlign w:val="center"/>
          </w:tcPr>
          <w:p w:rsidR="00B43487" w:rsidRPr="00B43487" w:rsidRDefault="00B43487" w:rsidP="0056691E">
            <w:pPr>
              <w:jc w:val="center"/>
              <w:rPr>
                <w:rFonts w:ascii="Verdana" w:hAnsi="Verdana"/>
                <w:sz w:val="16"/>
                <w:szCs w:val="16"/>
              </w:rPr>
            </w:pPr>
            <w:r w:rsidRPr="00B43487">
              <w:rPr>
                <w:rFonts w:ascii="Verdana" w:hAnsi="Verdana" w:cs="Vijaya"/>
                <w:iCs/>
                <w:sz w:val="16"/>
                <w:szCs w:val="16"/>
                <w:lang w:val="es-BO"/>
              </w:rPr>
              <w:t>Original</w:t>
            </w:r>
          </w:p>
        </w:tc>
      </w:tr>
      <w:tr w:rsidR="00B43487" w:rsidRPr="00B43487" w:rsidTr="0056691E">
        <w:trPr>
          <w:trHeight w:val="284"/>
        </w:trPr>
        <w:tc>
          <w:tcPr>
            <w:tcW w:w="3832" w:type="pct"/>
            <w:shd w:val="clear" w:color="auto" w:fill="auto"/>
            <w:vAlign w:val="center"/>
          </w:tcPr>
          <w:p w:rsidR="00B43487" w:rsidRPr="00B43487" w:rsidRDefault="00B43487" w:rsidP="0056691E">
            <w:pPr>
              <w:rPr>
                <w:rFonts w:ascii="Verdana" w:hAnsi="Verdana" w:cs="Vijaya"/>
                <w:iCs/>
                <w:sz w:val="16"/>
                <w:szCs w:val="16"/>
                <w:lang w:val="es-BO"/>
              </w:rPr>
            </w:pPr>
            <w:r w:rsidRPr="00B43487">
              <w:rPr>
                <w:rFonts w:ascii="Verdana" w:hAnsi="Verdana" w:cs="Vijaya"/>
                <w:iCs/>
                <w:sz w:val="16"/>
                <w:szCs w:val="16"/>
                <w:lang w:val="es-BO"/>
              </w:rPr>
              <w:t>Registros de permisos de Trabajo (Según especificaciones, Procedimientos y solicitud de SUPERVISOR)</w:t>
            </w:r>
          </w:p>
        </w:tc>
        <w:tc>
          <w:tcPr>
            <w:tcW w:w="1168" w:type="pct"/>
            <w:shd w:val="clear" w:color="auto" w:fill="auto"/>
            <w:vAlign w:val="center"/>
          </w:tcPr>
          <w:p w:rsidR="00B43487" w:rsidRPr="00B43487" w:rsidRDefault="00B43487" w:rsidP="0056691E">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B43487">
              <w:rPr>
                <w:rFonts w:ascii="Verdana" w:hAnsi="Verdana" w:cs="Vijaya"/>
                <w:iCs/>
                <w:sz w:val="16"/>
                <w:szCs w:val="16"/>
                <w:lang w:val="es-BO"/>
              </w:rPr>
              <w:t>Fotocopia</w:t>
            </w:r>
          </w:p>
        </w:tc>
      </w:tr>
    </w:tbl>
    <w:p w:rsidR="00B43487" w:rsidRPr="00535ED3" w:rsidRDefault="00B43487" w:rsidP="00B70251">
      <w:pPr>
        <w:jc w:val="both"/>
        <w:rPr>
          <w:rFonts w:ascii="Verdana" w:hAnsi="Verdana" w:cs="Verdana"/>
          <w:bCs/>
          <w:color w:val="000000"/>
          <w:sz w:val="16"/>
          <w:szCs w:val="16"/>
        </w:rPr>
      </w:pPr>
    </w:p>
    <w:sectPr w:rsidR="00B43487" w:rsidRPr="00535ED3" w:rsidSect="0022463C">
      <w:headerReference w:type="default" r:id="rId9"/>
      <w:footerReference w:type="default" r:id="rId10"/>
      <w:pgSz w:w="12242" w:h="15842" w:code="1"/>
      <w:pgMar w:top="1418" w:right="1134" w:bottom="1418" w:left="1134"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32" w:rsidRDefault="007F7A32">
      <w:r>
        <w:separator/>
      </w:r>
    </w:p>
  </w:endnote>
  <w:endnote w:type="continuationSeparator" w:id="0">
    <w:p w:rsidR="007F7A32" w:rsidRDefault="007F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643"/>
      <w:gridCol w:w="3271"/>
    </w:tblGrid>
    <w:tr w:rsidR="007F7A32" w:rsidRPr="009A4B1A" w:rsidTr="000300B0">
      <w:trPr>
        <w:trHeight w:val="8"/>
        <w:jc w:val="center"/>
      </w:trPr>
      <w:tc>
        <w:tcPr>
          <w:tcW w:w="1565" w:type="pct"/>
        </w:tcPr>
        <w:p w:rsidR="007F7A32" w:rsidRPr="009A4B1A" w:rsidRDefault="007F7A32"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7F7A32" w:rsidRPr="009A4B1A" w:rsidRDefault="007F7A32"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7F7A32" w:rsidRPr="009A4B1A" w:rsidRDefault="007F7A32"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7F7A32" w:rsidRPr="009A4B1A" w:rsidTr="000300B0">
      <w:trPr>
        <w:trHeight w:val="86"/>
        <w:jc w:val="center"/>
      </w:trPr>
      <w:tc>
        <w:tcPr>
          <w:tcW w:w="1565" w:type="pct"/>
        </w:tcPr>
        <w:p w:rsidR="007F7A32" w:rsidRPr="009A4B1A" w:rsidRDefault="007F7A32" w:rsidP="00762594">
          <w:pPr>
            <w:spacing w:after="160" w:line="259" w:lineRule="auto"/>
            <w:rPr>
              <w:rFonts w:ascii="Verdana" w:eastAsia="Arial Unicode MS" w:hAnsi="Verdana" w:cs="Vijaya"/>
              <w:sz w:val="14"/>
              <w:lang w:val="es-MX"/>
            </w:rPr>
          </w:pPr>
        </w:p>
        <w:p w:rsidR="007F7A32" w:rsidRPr="009A4B1A" w:rsidRDefault="007F7A32" w:rsidP="00762594">
          <w:pPr>
            <w:jc w:val="right"/>
            <w:rPr>
              <w:rFonts w:ascii="Verdana" w:eastAsia="Arial Unicode MS" w:hAnsi="Verdana" w:cs="Vijaya"/>
              <w:sz w:val="14"/>
              <w:lang w:val="es-MX"/>
            </w:rPr>
          </w:pPr>
        </w:p>
      </w:tc>
      <w:tc>
        <w:tcPr>
          <w:tcW w:w="1810" w:type="pct"/>
        </w:tcPr>
        <w:p w:rsidR="007F7A32" w:rsidRPr="009A4B1A" w:rsidRDefault="007F7A32" w:rsidP="00762594">
          <w:pPr>
            <w:rPr>
              <w:rFonts w:ascii="Verdana" w:eastAsia="Arial Unicode MS" w:hAnsi="Verdana" w:cs="Vijaya"/>
              <w:b/>
              <w:sz w:val="14"/>
              <w:szCs w:val="16"/>
              <w:lang w:val="es-MX"/>
            </w:rPr>
          </w:pPr>
        </w:p>
      </w:tc>
      <w:tc>
        <w:tcPr>
          <w:tcW w:w="1625" w:type="pct"/>
        </w:tcPr>
        <w:p w:rsidR="007F7A32" w:rsidRPr="009A4B1A" w:rsidRDefault="007F7A32" w:rsidP="00762594">
          <w:pPr>
            <w:rPr>
              <w:rFonts w:ascii="Verdana" w:eastAsia="Arial Unicode MS" w:hAnsi="Verdana" w:cs="Vijaya"/>
              <w:b/>
              <w:sz w:val="14"/>
              <w:szCs w:val="16"/>
              <w:lang w:val="es-MX"/>
            </w:rPr>
          </w:pPr>
        </w:p>
      </w:tc>
    </w:tr>
    <w:tr w:rsidR="007F7A32" w:rsidRPr="009A4B1A" w:rsidTr="000300B0">
      <w:trPr>
        <w:trHeight w:val="86"/>
        <w:jc w:val="center"/>
      </w:trPr>
      <w:tc>
        <w:tcPr>
          <w:tcW w:w="1565" w:type="pct"/>
        </w:tcPr>
        <w:p w:rsidR="007F7A32" w:rsidRDefault="007F7A32"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7F7A32" w:rsidRPr="00556B64" w:rsidRDefault="007F7A32"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7F7A32" w:rsidRPr="009A4B1A" w:rsidRDefault="007F7A32"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7F7A32" w:rsidRPr="009A4B1A" w:rsidRDefault="007F7A32"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7F7A32" w:rsidRPr="009A4B1A" w:rsidRDefault="007F7A32"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7F7A32" w:rsidRPr="009A4B1A" w:rsidRDefault="007F7A32"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7F7A32" w:rsidRDefault="007F7A32"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32" w:rsidRDefault="007F7A32">
      <w:r>
        <w:separator/>
      </w:r>
    </w:p>
  </w:footnote>
  <w:footnote w:type="continuationSeparator" w:id="0">
    <w:p w:rsidR="007F7A32" w:rsidRDefault="007F7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5680"/>
      <w:gridCol w:w="2228"/>
    </w:tblGrid>
    <w:tr w:rsidR="007F7A32" w:rsidRPr="00AD0053" w:rsidTr="0022463C">
      <w:trPr>
        <w:trHeight w:val="416"/>
        <w:jc w:val="center"/>
      </w:trPr>
      <w:tc>
        <w:tcPr>
          <w:tcW w:w="1120" w:type="pct"/>
          <w:vMerge w:val="restart"/>
          <w:vAlign w:val="center"/>
        </w:tcPr>
        <w:p w:rsidR="007F7A32" w:rsidRPr="00AD0053" w:rsidRDefault="007F7A32" w:rsidP="008A15F3">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7728" behindDoc="0" locked="0" layoutInCell="1" allowOverlap="1">
                <wp:simplePos x="0" y="0"/>
                <wp:positionH relativeFrom="column">
                  <wp:posOffset>127635</wp:posOffset>
                </wp:positionH>
                <wp:positionV relativeFrom="paragraph">
                  <wp:posOffset>59690</wp:posOffset>
                </wp:positionV>
                <wp:extent cx="860425" cy="4235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7F7A32" w:rsidRPr="007E1D97" w:rsidRDefault="007F7A32" w:rsidP="008A15F3">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7F7A32" w:rsidRPr="00AD0053" w:rsidRDefault="00B43487" w:rsidP="008A15F3">
          <w:pPr>
            <w:jc w:val="center"/>
            <w:rPr>
              <w:rFonts w:ascii="Verdana" w:eastAsia="Arial Unicode MS" w:hAnsi="Verdana" w:cs="Calibri"/>
              <w:color w:val="FF0000"/>
              <w:sz w:val="18"/>
              <w:szCs w:val="20"/>
              <w:lang w:val="es-MX"/>
            </w:rPr>
          </w:pPr>
          <w:r>
            <w:rPr>
              <w:rFonts w:ascii="Verdana" w:eastAsia="Arial Unicode MS" w:hAnsi="Verdana" w:cs="Calibri"/>
              <w:b/>
              <w:sz w:val="18"/>
              <w:szCs w:val="18"/>
              <w:lang w:val="es-MX"/>
            </w:rPr>
            <w:t>DATA BOOK</w:t>
          </w:r>
        </w:p>
      </w:tc>
      <w:tc>
        <w:tcPr>
          <w:tcW w:w="1093" w:type="pct"/>
          <w:vAlign w:val="center"/>
        </w:tcPr>
        <w:p w:rsidR="007F7A32" w:rsidRPr="00E76369" w:rsidRDefault="007F7A32" w:rsidP="00B43487">
          <w:pPr>
            <w:pStyle w:val="Encabezado"/>
            <w:jc w:val="center"/>
            <w:rPr>
              <w:rFonts w:ascii="Verdana" w:eastAsia="Arial Unicode MS" w:hAnsi="Verdana" w:cs="Arial"/>
              <w:b/>
              <w:sz w:val="16"/>
              <w:szCs w:val="20"/>
              <w:lang w:val="es-MX"/>
            </w:rPr>
          </w:pPr>
          <w:r w:rsidRPr="00967D24">
            <w:rPr>
              <w:rFonts w:ascii="Verdana" w:eastAsia="Arial Unicode MS" w:hAnsi="Verdana" w:cs="Arial"/>
              <w:b/>
              <w:sz w:val="14"/>
              <w:szCs w:val="20"/>
              <w:lang w:val="es-MX"/>
            </w:rPr>
            <w:t xml:space="preserve">ANEXO </w:t>
          </w:r>
          <w:r w:rsidR="00B43487">
            <w:rPr>
              <w:rFonts w:ascii="Verdana" w:eastAsia="Arial Unicode MS" w:hAnsi="Verdana" w:cs="Arial"/>
              <w:b/>
              <w:sz w:val="14"/>
              <w:szCs w:val="20"/>
              <w:lang w:val="es-MX"/>
            </w:rPr>
            <w:t>4</w:t>
          </w:r>
        </w:p>
      </w:tc>
    </w:tr>
    <w:tr w:rsidR="007F7A32" w:rsidRPr="00AD0053" w:rsidTr="0022463C">
      <w:trPr>
        <w:trHeight w:val="523"/>
        <w:jc w:val="center"/>
      </w:trPr>
      <w:tc>
        <w:tcPr>
          <w:tcW w:w="1120" w:type="pct"/>
          <w:vMerge/>
          <w:vAlign w:val="center"/>
        </w:tcPr>
        <w:p w:rsidR="007F7A32" w:rsidRPr="00AD0053" w:rsidRDefault="007F7A32" w:rsidP="008A15F3">
          <w:pPr>
            <w:pStyle w:val="Encabezado"/>
            <w:jc w:val="center"/>
            <w:rPr>
              <w:rFonts w:ascii="Verdana" w:eastAsia="Arial Unicode MS" w:hAnsi="Verdana"/>
              <w:noProof/>
              <w:sz w:val="18"/>
              <w:szCs w:val="12"/>
              <w:lang w:val="es-BO" w:eastAsia="es-BO"/>
            </w:rPr>
          </w:pPr>
        </w:p>
      </w:tc>
      <w:tc>
        <w:tcPr>
          <w:tcW w:w="2787" w:type="pct"/>
          <w:vMerge/>
          <w:vAlign w:val="center"/>
        </w:tcPr>
        <w:p w:rsidR="007F7A32" w:rsidRPr="007E1D97" w:rsidRDefault="007F7A32" w:rsidP="008A15F3">
          <w:pPr>
            <w:jc w:val="center"/>
            <w:rPr>
              <w:rFonts w:ascii="Verdana" w:hAnsi="Verdana" w:cs="Calibri"/>
              <w:b/>
              <w:sz w:val="18"/>
              <w:szCs w:val="18"/>
            </w:rPr>
          </w:pPr>
        </w:p>
      </w:tc>
      <w:tc>
        <w:tcPr>
          <w:tcW w:w="1093" w:type="pct"/>
          <w:vAlign w:val="center"/>
        </w:tcPr>
        <w:p w:rsidR="007F7A32" w:rsidRPr="00E76369" w:rsidRDefault="007F7A32" w:rsidP="008A15F3">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7F7A32" w:rsidRPr="00E76369" w:rsidRDefault="007F7A32" w:rsidP="008A15F3">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124C21">
            <w:rPr>
              <w:rStyle w:val="Nmerodepgina"/>
              <w:rFonts w:ascii="Verdana" w:hAnsi="Verdana" w:cs="Vijaya"/>
              <w:noProof/>
              <w:sz w:val="16"/>
              <w:szCs w:val="22"/>
            </w:rPr>
            <w:t>2</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124C21">
            <w:rPr>
              <w:rStyle w:val="Nmerodepgina"/>
              <w:rFonts w:ascii="Verdana" w:hAnsi="Verdana" w:cs="Vijaya"/>
              <w:noProof/>
              <w:sz w:val="16"/>
              <w:szCs w:val="22"/>
            </w:rPr>
            <w:t>4</w:t>
          </w:r>
          <w:r w:rsidRPr="00E76369">
            <w:rPr>
              <w:rStyle w:val="Nmerodepgina"/>
              <w:rFonts w:ascii="Verdana" w:hAnsi="Verdana" w:cs="Vijaya"/>
              <w:sz w:val="16"/>
              <w:szCs w:val="22"/>
            </w:rPr>
            <w:fldChar w:fldCharType="end"/>
          </w:r>
        </w:p>
      </w:tc>
    </w:tr>
  </w:tbl>
  <w:p w:rsidR="007F7A32" w:rsidRDefault="007F7A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08D"/>
    <w:multiLevelType w:val="hybridMultilevel"/>
    <w:tmpl w:val="9FCE4D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B0B5C98"/>
    <w:multiLevelType w:val="hybridMultilevel"/>
    <w:tmpl w:val="08504A5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nsid w:val="1FF82D9C"/>
    <w:multiLevelType w:val="hybridMultilevel"/>
    <w:tmpl w:val="E19820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
    <w:nsid w:val="28C551AA"/>
    <w:multiLevelType w:val="multilevel"/>
    <w:tmpl w:val="8968CE94"/>
    <w:lvl w:ilvl="0">
      <w:start w:val="31"/>
      <w:numFmt w:val="decimal"/>
      <w:lvlText w:val="%1."/>
      <w:lvlJc w:val="left"/>
      <w:pPr>
        <w:ind w:left="720" w:hanging="360"/>
      </w:pPr>
      <w:rPr>
        <w:rFonts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2057ED8"/>
    <w:multiLevelType w:val="multilevel"/>
    <w:tmpl w:val="F7E0F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57B49F9"/>
    <w:multiLevelType w:val="hybridMultilevel"/>
    <w:tmpl w:val="244285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47C92B54"/>
    <w:multiLevelType w:val="hybridMultilevel"/>
    <w:tmpl w:val="FA9CD8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D2D05D4"/>
    <w:multiLevelType w:val="hybridMultilevel"/>
    <w:tmpl w:val="935CCA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1706CC6"/>
    <w:multiLevelType w:val="hybridMultilevel"/>
    <w:tmpl w:val="53F2F5C8"/>
    <w:lvl w:ilvl="0" w:tplc="0C0A000D">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6">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18">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0">
    <w:nsid w:val="65175E42"/>
    <w:multiLevelType w:val="hybridMultilevel"/>
    <w:tmpl w:val="AF7256A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685126B4"/>
    <w:multiLevelType w:val="hybridMultilevel"/>
    <w:tmpl w:val="F2CAEB4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nsid w:val="6B0E3524"/>
    <w:multiLevelType w:val="hybridMultilevel"/>
    <w:tmpl w:val="CD4A39E0"/>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400A0001">
      <w:start w:val="1"/>
      <w:numFmt w:val="bullet"/>
      <w:lvlText w:val=""/>
      <w:lvlJc w:val="left"/>
      <w:pPr>
        <w:ind w:left="360" w:hanging="360"/>
      </w:pPr>
      <w:rPr>
        <w:rFonts w:ascii="Symbol"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1A22F31"/>
    <w:multiLevelType w:val="hybridMultilevel"/>
    <w:tmpl w:val="03C858CE"/>
    <w:lvl w:ilvl="0" w:tplc="1E2E2A74">
      <w:start w:val="1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27">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D2A0269"/>
    <w:multiLevelType w:val="hybridMultilevel"/>
    <w:tmpl w:val="4BAED2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6"/>
  </w:num>
  <w:num w:numId="4">
    <w:abstractNumId w:val="16"/>
  </w:num>
  <w:num w:numId="5">
    <w:abstractNumId w:val="2"/>
  </w:num>
  <w:num w:numId="6">
    <w:abstractNumId w:val="18"/>
  </w:num>
  <w:num w:numId="7">
    <w:abstractNumId w:val="13"/>
  </w:num>
  <w:num w:numId="8">
    <w:abstractNumId w:val="9"/>
  </w:num>
  <w:num w:numId="9">
    <w:abstractNumId w:val="25"/>
  </w:num>
  <w:num w:numId="10">
    <w:abstractNumId w:val="1"/>
  </w:num>
  <w:num w:numId="11">
    <w:abstractNumId w:val="22"/>
  </w:num>
  <w:num w:numId="12">
    <w:abstractNumId w:val="20"/>
  </w:num>
  <w:num w:numId="13">
    <w:abstractNumId w:val="15"/>
  </w:num>
  <w:num w:numId="14">
    <w:abstractNumId w:val="8"/>
  </w:num>
  <w:num w:numId="15">
    <w:abstractNumId w:val="11"/>
  </w:num>
  <w:num w:numId="16">
    <w:abstractNumId w:val="24"/>
  </w:num>
  <w:num w:numId="17">
    <w:abstractNumId w:val="27"/>
  </w:num>
  <w:num w:numId="18">
    <w:abstractNumId w:val="21"/>
  </w:num>
  <w:num w:numId="19">
    <w:abstractNumId w:val="3"/>
  </w:num>
  <w:num w:numId="20">
    <w:abstractNumId w:val="19"/>
  </w:num>
  <w:num w:numId="21">
    <w:abstractNumId w:val="17"/>
  </w:num>
  <w:num w:numId="22">
    <w:abstractNumId w:val="4"/>
  </w:num>
  <w:num w:numId="23">
    <w:abstractNumId w:val="0"/>
  </w:num>
  <w:num w:numId="24">
    <w:abstractNumId w:val="28"/>
  </w:num>
  <w:num w:numId="25">
    <w:abstractNumId w:val="10"/>
  </w:num>
  <w:num w:numId="26">
    <w:abstractNumId w:val="24"/>
  </w:num>
  <w:num w:numId="27">
    <w:abstractNumId w:val="23"/>
  </w:num>
  <w:num w:numId="28">
    <w:abstractNumId w:val="5"/>
  </w:num>
  <w:num w:numId="29">
    <w:abstractNumId w:val="14"/>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15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28A"/>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47FA8"/>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1433"/>
    <w:rsid w:val="000F3BB7"/>
    <w:rsid w:val="000F6127"/>
    <w:rsid w:val="000F6CE3"/>
    <w:rsid w:val="000F72AE"/>
    <w:rsid w:val="000F74D6"/>
    <w:rsid w:val="0010097B"/>
    <w:rsid w:val="001010C5"/>
    <w:rsid w:val="0010168E"/>
    <w:rsid w:val="00105937"/>
    <w:rsid w:val="00107547"/>
    <w:rsid w:val="00110A6B"/>
    <w:rsid w:val="00110FB3"/>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4C21"/>
    <w:rsid w:val="0012506E"/>
    <w:rsid w:val="00125C76"/>
    <w:rsid w:val="00127ACA"/>
    <w:rsid w:val="00130994"/>
    <w:rsid w:val="001310B4"/>
    <w:rsid w:val="0013110F"/>
    <w:rsid w:val="00131D93"/>
    <w:rsid w:val="00132B0E"/>
    <w:rsid w:val="001345D1"/>
    <w:rsid w:val="00134A9C"/>
    <w:rsid w:val="00134E1D"/>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116"/>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463C"/>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46D0B"/>
    <w:rsid w:val="00252686"/>
    <w:rsid w:val="00253B1C"/>
    <w:rsid w:val="00253ECB"/>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7701"/>
    <w:rsid w:val="002B782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6C5A"/>
    <w:rsid w:val="00317112"/>
    <w:rsid w:val="00320B47"/>
    <w:rsid w:val="003216D0"/>
    <w:rsid w:val="0032238A"/>
    <w:rsid w:val="003229EF"/>
    <w:rsid w:val="0032310A"/>
    <w:rsid w:val="00323F2A"/>
    <w:rsid w:val="003242AA"/>
    <w:rsid w:val="00325605"/>
    <w:rsid w:val="0032612B"/>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590B"/>
    <w:rsid w:val="003879DB"/>
    <w:rsid w:val="003902D4"/>
    <w:rsid w:val="00391799"/>
    <w:rsid w:val="003919D9"/>
    <w:rsid w:val="00393127"/>
    <w:rsid w:val="00393BFB"/>
    <w:rsid w:val="00394D8B"/>
    <w:rsid w:val="00396B1C"/>
    <w:rsid w:val="003A11B3"/>
    <w:rsid w:val="003A11D4"/>
    <w:rsid w:val="003A3CD3"/>
    <w:rsid w:val="003A57DE"/>
    <w:rsid w:val="003A7676"/>
    <w:rsid w:val="003B014C"/>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31D"/>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4A3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2E8C"/>
    <w:rsid w:val="004A3A00"/>
    <w:rsid w:val="004A57B5"/>
    <w:rsid w:val="004A5DA5"/>
    <w:rsid w:val="004A5FB6"/>
    <w:rsid w:val="004A6447"/>
    <w:rsid w:val="004A6977"/>
    <w:rsid w:val="004A7901"/>
    <w:rsid w:val="004B13F2"/>
    <w:rsid w:val="004B2766"/>
    <w:rsid w:val="004B5227"/>
    <w:rsid w:val="004B6278"/>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5ED3"/>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B93"/>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0C4"/>
    <w:rsid w:val="005C3A02"/>
    <w:rsid w:val="005C5305"/>
    <w:rsid w:val="005C5EA5"/>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D7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2B6"/>
    <w:rsid w:val="00742535"/>
    <w:rsid w:val="00743EA8"/>
    <w:rsid w:val="00744189"/>
    <w:rsid w:val="0074453F"/>
    <w:rsid w:val="007453BD"/>
    <w:rsid w:val="007466B2"/>
    <w:rsid w:val="00747ABC"/>
    <w:rsid w:val="00750201"/>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39AD"/>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C06"/>
    <w:rsid w:val="007D2FA0"/>
    <w:rsid w:val="007D3189"/>
    <w:rsid w:val="007D3465"/>
    <w:rsid w:val="007D38A9"/>
    <w:rsid w:val="007D3AD5"/>
    <w:rsid w:val="007D43F8"/>
    <w:rsid w:val="007D5048"/>
    <w:rsid w:val="007D5373"/>
    <w:rsid w:val="007D66CC"/>
    <w:rsid w:val="007E1D97"/>
    <w:rsid w:val="007E40F4"/>
    <w:rsid w:val="007E6622"/>
    <w:rsid w:val="007F1302"/>
    <w:rsid w:val="007F21EF"/>
    <w:rsid w:val="007F22CA"/>
    <w:rsid w:val="007F2ADC"/>
    <w:rsid w:val="007F2B40"/>
    <w:rsid w:val="007F32ED"/>
    <w:rsid w:val="007F3879"/>
    <w:rsid w:val="007F59F7"/>
    <w:rsid w:val="007F5EAB"/>
    <w:rsid w:val="007F7A32"/>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15F3"/>
    <w:rsid w:val="008A205E"/>
    <w:rsid w:val="008A3667"/>
    <w:rsid w:val="008A482C"/>
    <w:rsid w:val="008A5D54"/>
    <w:rsid w:val="008A65AF"/>
    <w:rsid w:val="008A6DA6"/>
    <w:rsid w:val="008B178B"/>
    <w:rsid w:val="008B2B6C"/>
    <w:rsid w:val="008B3B29"/>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BA9"/>
    <w:rsid w:val="008E3D6B"/>
    <w:rsid w:val="008E4644"/>
    <w:rsid w:val="008E46A3"/>
    <w:rsid w:val="008E4B5B"/>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266"/>
    <w:rsid w:val="00962AA3"/>
    <w:rsid w:val="009639C2"/>
    <w:rsid w:val="00964464"/>
    <w:rsid w:val="0096528D"/>
    <w:rsid w:val="00966812"/>
    <w:rsid w:val="00966E13"/>
    <w:rsid w:val="0096747B"/>
    <w:rsid w:val="00967AF0"/>
    <w:rsid w:val="00967D24"/>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5803"/>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2FE6"/>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8F5"/>
    <w:rsid w:val="00AD0990"/>
    <w:rsid w:val="00AD1ADE"/>
    <w:rsid w:val="00AD1C92"/>
    <w:rsid w:val="00AD2287"/>
    <w:rsid w:val="00AD321C"/>
    <w:rsid w:val="00AD3504"/>
    <w:rsid w:val="00AD36DD"/>
    <w:rsid w:val="00AD3A84"/>
    <w:rsid w:val="00AD415A"/>
    <w:rsid w:val="00AD742D"/>
    <w:rsid w:val="00AE080B"/>
    <w:rsid w:val="00AE096B"/>
    <w:rsid w:val="00AE0DAF"/>
    <w:rsid w:val="00AE20FF"/>
    <w:rsid w:val="00AE378A"/>
    <w:rsid w:val="00AE6795"/>
    <w:rsid w:val="00AE716C"/>
    <w:rsid w:val="00AE7BAF"/>
    <w:rsid w:val="00AF68B8"/>
    <w:rsid w:val="00AF791D"/>
    <w:rsid w:val="00B0014E"/>
    <w:rsid w:val="00B01B40"/>
    <w:rsid w:val="00B04924"/>
    <w:rsid w:val="00B07024"/>
    <w:rsid w:val="00B07C81"/>
    <w:rsid w:val="00B10460"/>
    <w:rsid w:val="00B114D3"/>
    <w:rsid w:val="00B11569"/>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3487"/>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251"/>
    <w:rsid w:val="00B70486"/>
    <w:rsid w:val="00B711C7"/>
    <w:rsid w:val="00B72670"/>
    <w:rsid w:val="00B74431"/>
    <w:rsid w:val="00B75DFB"/>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77B"/>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0D8B"/>
    <w:rsid w:val="00BF1B12"/>
    <w:rsid w:val="00BF1E83"/>
    <w:rsid w:val="00BF1F7E"/>
    <w:rsid w:val="00BF2C93"/>
    <w:rsid w:val="00BF542E"/>
    <w:rsid w:val="00BF58B5"/>
    <w:rsid w:val="00BF69A5"/>
    <w:rsid w:val="00C01760"/>
    <w:rsid w:val="00C017EB"/>
    <w:rsid w:val="00C02C70"/>
    <w:rsid w:val="00C02DF5"/>
    <w:rsid w:val="00C0316E"/>
    <w:rsid w:val="00C03687"/>
    <w:rsid w:val="00C039F3"/>
    <w:rsid w:val="00C03D53"/>
    <w:rsid w:val="00C03D9D"/>
    <w:rsid w:val="00C045AC"/>
    <w:rsid w:val="00C048D6"/>
    <w:rsid w:val="00C04E61"/>
    <w:rsid w:val="00C10666"/>
    <w:rsid w:val="00C11383"/>
    <w:rsid w:val="00C123CF"/>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27CB"/>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65BC"/>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85F"/>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4CCB"/>
    <w:rsid w:val="00D05BC0"/>
    <w:rsid w:val="00D065AD"/>
    <w:rsid w:val="00D06809"/>
    <w:rsid w:val="00D06B95"/>
    <w:rsid w:val="00D073E5"/>
    <w:rsid w:val="00D076DF"/>
    <w:rsid w:val="00D077D4"/>
    <w:rsid w:val="00D07F2F"/>
    <w:rsid w:val="00D10D8C"/>
    <w:rsid w:val="00D1201A"/>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0935"/>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5618"/>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7F4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3C84"/>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6C2"/>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41A7"/>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0A09"/>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6B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A77AD"/>
    <w:rsid w:val="00FB00E7"/>
    <w:rsid w:val="00FB1342"/>
    <w:rsid w:val="00FB1FB9"/>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5CD3"/>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535ED3"/>
    <w:pPr>
      <w:tabs>
        <w:tab w:val="left" w:pos="480"/>
        <w:tab w:val="left" w:pos="1200"/>
        <w:tab w:val="right" w:leader="dot" w:pos="9923"/>
      </w:tabs>
      <w:spacing w:line="240" w:lineRule="atLeast"/>
      <w:jc w:val="both"/>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uiPriority w:val="99"/>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character" w:styleId="nfasis">
    <w:name w:val="Emphasis"/>
    <w:qFormat/>
    <w:rsid w:val="00612D79"/>
    <w:rPr>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535ED3"/>
    <w:pPr>
      <w:tabs>
        <w:tab w:val="left" w:pos="480"/>
        <w:tab w:val="left" w:pos="1200"/>
        <w:tab w:val="right" w:leader="dot" w:pos="9923"/>
      </w:tabs>
      <w:spacing w:line="240" w:lineRule="atLeast"/>
      <w:jc w:val="both"/>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uiPriority w:val="99"/>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character" w:styleId="nfasis">
    <w:name w:val="Emphasis"/>
    <w:qFormat/>
    <w:rsid w:val="00612D79"/>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37559685">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64499462">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44975797">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67540714">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77553133">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51245733">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5425047">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0304284">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85981458">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26840233">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04044438">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24672201">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01705-FFBF-4C36-BCA1-BD1AF5C6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7974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9405</CharactersWithSpaces>
  <SharedDoc>false</SharedDoc>
  <HLinks>
    <vt:vector size="78" baseType="variant">
      <vt:variant>
        <vt:i4>1310782</vt:i4>
      </vt:variant>
      <vt:variant>
        <vt:i4>74</vt:i4>
      </vt:variant>
      <vt:variant>
        <vt:i4>0</vt:i4>
      </vt:variant>
      <vt:variant>
        <vt:i4>5</vt:i4>
      </vt:variant>
      <vt:variant>
        <vt:lpwstr/>
      </vt:variant>
      <vt:variant>
        <vt:lpwstr>_Toc482699145</vt:lpwstr>
      </vt:variant>
      <vt:variant>
        <vt:i4>1310782</vt:i4>
      </vt:variant>
      <vt:variant>
        <vt:i4>68</vt:i4>
      </vt:variant>
      <vt:variant>
        <vt:i4>0</vt:i4>
      </vt:variant>
      <vt:variant>
        <vt:i4>5</vt:i4>
      </vt:variant>
      <vt:variant>
        <vt:lpwstr/>
      </vt:variant>
      <vt:variant>
        <vt:lpwstr>_Toc482699144</vt:lpwstr>
      </vt:variant>
      <vt:variant>
        <vt:i4>1310782</vt:i4>
      </vt:variant>
      <vt:variant>
        <vt:i4>62</vt:i4>
      </vt:variant>
      <vt:variant>
        <vt:i4>0</vt:i4>
      </vt:variant>
      <vt:variant>
        <vt:i4>5</vt:i4>
      </vt:variant>
      <vt:variant>
        <vt:lpwstr/>
      </vt:variant>
      <vt:variant>
        <vt:lpwstr>_Toc482699143</vt:lpwstr>
      </vt:variant>
      <vt:variant>
        <vt:i4>1310782</vt:i4>
      </vt:variant>
      <vt:variant>
        <vt:i4>56</vt:i4>
      </vt:variant>
      <vt:variant>
        <vt:i4>0</vt:i4>
      </vt:variant>
      <vt:variant>
        <vt:i4>5</vt:i4>
      </vt:variant>
      <vt:variant>
        <vt:lpwstr/>
      </vt:variant>
      <vt:variant>
        <vt:lpwstr>_Toc482699142</vt:lpwstr>
      </vt:variant>
      <vt:variant>
        <vt:i4>1310782</vt:i4>
      </vt:variant>
      <vt:variant>
        <vt:i4>50</vt:i4>
      </vt:variant>
      <vt:variant>
        <vt:i4>0</vt:i4>
      </vt:variant>
      <vt:variant>
        <vt:i4>5</vt:i4>
      </vt:variant>
      <vt:variant>
        <vt:lpwstr/>
      </vt:variant>
      <vt:variant>
        <vt:lpwstr>_Toc482699141</vt:lpwstr>
      </vt:variant>
      <vt:variant>
        <vt:i4>1310782</vt:i4>
      </vt:variant>
      <vt:variant>
        <vt:i4>44</vt:i4>
      </vt:variant>
      <vt:variant>
        <vt:i4>0</vt:i4>
      </vt:variant>
      <vt:variant>
        <vt:i4>5</vt:i4>
      </vt:variant>
      <vt:variant>
        <vt:lpwstr/>
      </vt:variant>
      <vt:variant>
        <vt:lpwstr>_Toc482699140</vt:lpwstr>
      </vt:variant>
      <vt:variant>
        <vt:i4>1245246</vt:i4>
      </vt:variant>
      <vt:variant>
        <vt:i4>38</vt:i4>
      </vt:variant>
      <vt:variant>
        <vt:i4>0</vt:i4>
      </vt:variant>
      <vt:variant>
        <vt:i4>5</vt:i4>
      </vt:variant>
      <vt:variant>
        <vt:lpwstr/>
      </vt:variant>
      <vt:variant>
        <vt:lpwstr>_Toc482699139</vt:lpwstr>
      </vt:variant>
      <vt:variant>
        <vt:i4>1245246</vt:i4>
      </vt:variant>
      <vt:variant>
        <vt:i4>32</vt:i4>
      </vt:variant>
      <vt:variant>
        <vt:i4>0</vt:i4>
      </vt:variant>
      <vt:variant>
        <vt:i4>5</vt:i4>
      </vt:variant>
      <vt:variant>
        <vt:lpwstr/>
      </vt:variant>
      <vt:variant>
        <vt:lpwstr>_Toc482699138</vt:lpwstr>
      </vt:variant>
      <vt:variant>
        <vt:i4>1245246</vt:i4>
      </vt:variant>
      <vt:variant>
        <vt:i4>26</vt:i4>
      </vt:variant>
      <vt:variant>
        <vt:i4>0</vt:i4>
      </vt:variant>
      <vt:variant>
        <vt:i4>5</vt:i4>
      </vt:variant>
      <vt:variant>
        <vt:lpwstr/>
      </vt:variant>
      <vt:variant>
        <vt:lpwstr>_Toc482699137</vt:lpwstr>
      </vt:variant>
      <vt:variant>
        <vt:i4>1245246</vt:i4>
      </vt:variant>
      <vt:variant>
        <vt:i4>20</vt:i4>
      </vt:variant>
      <vt:variant>
        <vt:i4>0</vt:i4>
      </vt:variant>
      <vt:variant>
        <vt:i4>5</vt:i4>
      </vt:variant>
      <vt:variant>
        <vt:lpwstr/>
      </vt:variant>
      <vt:variant>
        <vt:lpwstr>_Toc482699136</vt:lpwstr>
      </vt:variant>
      <vt:variant>
        <vt:i4>1245246</vt:i4>
      </vt:variant>
      <vt:variant>
        <vt:i4>14</vt:i4>
      </vt:variant>
      <vt:variant>
        <vt:i4>0</vt:i4>
      </vt:variant>
      <vt:variant>
        <vt:i4>5</vt:i4>
      </vt:variant>
      <vt:variant>
        <vt:lpwstr/>
      </vt:variant>
      <vt:variant>
        <vt:lpwstr>_Toc482699135</vt:lpwstr>
      </vt:variant>
      <vt:variant>
        <vt:i4>1245246</vt:i4>
      </vt:variant>
      <vt:variant>
        <vt:i4>8</vt:i4>
      </vt:variant>
      <vt:variant>
        <vt:i4>0</vt:i4>
      </vt:variant>
      <vt:variant>
        <vt:i4>5</vt:i4>
      </vt:variant>
      <vt:variant>
        <vt:lpwstr/>
      </vt:variant>
      <vt:variant>
        <vt:lpwstr>_Toc482699134</vt:lpwstr>
      </vt:variant>
      <vt:variant>
        <vt:i4>1245246</vt:i4>
      </vt:variant>
      <vt:variant>
        <vt:i4>2</vt:i4>
      </vt:variant>
      <vt:variant>
        <vt:i4>0</vt:i4>
      </vt:variant>
      <vt:variant>
        <vt:i4>5</vt:i4>
      </vt:variant>
      <vt:variant>
        <vt:lpwstr/>
      </vt:variant>
      <vt:variant>
        <vt:lpwstr>_Toc482699133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2017-06-12T22:38:00Z</dcterms:created>
  <dcterms:modified xsi:type="dcterms:W3CDTF">2017-06-12T22:38:00Z</dcterms:modified>
</cp:coreProperties>
</file>