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711CC1" w:rsidRDefault="00F64131" w:rsidP="008549F5">
      <w:pPr>
        <w:pStyle w:val="Default"/>
        <w:jc w:val="center"/>
        <w:rPr>
          <w:rFonts w:asciiTheme="majorHAnsi" w:hAnsiTheme="majorHAnsi"/>
        </w:rPr>
      </w:pPr>
      <w:r>
        <w:rPr>
          <w:rFonts w:asciiTheme="majorHAnsi" w:hAnsiTheme="majorHAnsi"/>
          <w:b/>
          <w:bCs/>
        </w:rPr>
        <w:t xml:space="preserve">  </w:t>
      </w:r>
      <w:r w:rsidR="008549F5" w:rsidRPr="00711CC1">
        <w:rPr>
          <w:rFonts w:asciiTheme="majorHAnsi" w:hAnsiTheme="majorHAnsi"/>
          <w:b/>
          <w:bCs/>
        </w:rPr>
        <w:t>REQUISITOS DE SEGURIDAD INDUSTRIAL PARA CONTRATISTAS</w:t>
      </w:r>
    </w:p>
    <w:p w:rsidR="008549F5" w:rsidRPr="00711CC1" w:rsidRDefault="008549F5" w:rsidP="008549F5">
      <w:pPr>
        <w:pStyle w:val="Default"/>
        <w:jc w:val="center"/>
        <w:rPr>
          <w:rFonts w:asciiTheme="majorHAnsi" w:hAnsiTheme="majorHAnsi"/>
        </w:rPr>
      </w:pPr>
      <w:r w:rsidRPr="00711CC1">
        <w:rPr>
          <w:rFonts w:asciiTheme="majorHAnsi" w:hAnsiTheme="majorHAnsi"/>
          <w:b/>
          <w:bCs/>
        </w:rPr>
        <w:t>DIRECCIÓN NACIONAL DE SEGURIDAD INDUSTRIAL</w:t>
      </w:r>
    </w:p>
    <w:p w:rsidR="008549F5" w:rsidRPr="00711CC1" w:rsidRDefault="008549F5" w:rsidP="008549F5">
      <w:pPr>
        <w:pStyle w:val="Default"/>
        <w:jc w:val="center"/>
        <w:rPr>
          <w:rFonts w:asciiTheme="majorHAnsi" w:hAnsiTheme="majorHAnsi"/>
        </w:rPr>
        <w:sectPr w:rsidR="008549F5" w:rsidRPr="00711CC1" w:rsidSect="005751E5">
          <w:headerReference w:type="default" r:id="rId7"/>
          <w:footerReference w:type="default" r:id="rId8"/>
          <w:pgSz w:w="12240" w:h="15840"/>
          <w:pgMar w:top="1418" w:right="1701" w:bottom="1418" w:left="1701" w:header="720" w:footer="720" w:gutter="0"/>
          <w:cols w:space="720"/>
          <w:noEndnote/>
        </w:sectPr>
      </w:pPr>
      <w:r w:rsidRPr="00711CC1">
        <w:rPr>
          <w:rFonts w:asciiTheme="majorHAnsi" w:hAnsiTheme="majorHAnsi"/>
          <w:b/>
          <w:bCs/>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de cero alcohol,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Circulación en vehículos a velocidad máxima de 80 km/hr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rsidSect="005751E5">
          <w:type w:val="continuous"/>
          <w:pgSz w:w="12240" w:h="15840"/>
          <w:pgMar w:top="1418" w:right="1701" w:bottom="1418"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E25855" w:rsidRDefault="00E25855" w:rsidP="008549F5">
      <w:pPr>
        <w:pStyle w:val="Default"/>
        <w:spacing w:after="240"/>
        <w:rPr>
          <w:rFonts w:asciiTheme="majorHAnsi" w:hAnsiTheme="majorHAnsi"/>
          <w:b/>
          <w:bCs/>
          <w:sz w:val="18"/>
          <w:szCs w:val="18"/>
        </w:rPr>
      </w:pPr>
    </w:p>
    <w:p w:rsidR="00E25855" w:rsidRDefault="00E25855" w:rsidP="008549F5">
      <w:pPr>
        <w:pStyle w:val="Default"/>
        <w:spacing w:after="240"/>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hidrocarburífera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6. Requerimos que nuestros contratistas gerencien la seguridad y salud ocupacional dentro de las buenas prácticas, el cuidado del medioambiente con responsabilidad social, en línea con la presente política</w:t>
      </w: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E25855" w:rsidRDefault="008549F5" w:rsidP="00E25855">
      <w:pPr>
        <w:pStyle w:val="Default"/>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eastAsia="es-BO"/>
        </w:rPr>
        <w:lastRenderedPageBreak/>
        <w:drawing>
          <wp:anchor distT="0" distB="0" distL="114300" distR="114300" simplePos="0" relativeHeight="251660288" behindDoc="0" locked="0" layoutInCell="1" allowOverlap="1" wp14:anchorId="60764D97" wp14:editId="358B726C">
            <wp:simplePos x="2457450" y="6886575"/>
            <wp:positionH relativeFrom="column">
              <wp:posOffset>2451735</wp:posOffset>
            </wp:positionH>
            <wp:positionV relativeFrom="paragraph">
              <wp:align>top</wp:align>
            </wp:positionV>
            <wp:extent cx="2867025" cy="1063218"/>
            <wp:effectExtent l="0" t="0" r="0" b="381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7025" cy="1063218"/>
                    </a:xfrm>
                    <a:prstGeom prst="rect">
                      <a:avLst/>
                    </a:prstGeom>
                    <a:noFill/>
                    <a:ln>
                      <a:noFill/>
                    </a:ln>
                  </pic:spPr>
                </pic:pic>
              </a:graphicData>
            </a:graphic>
          </wp:anchor>
        </w:drawing>
      </w:r>
    </w:p>
    <w:p w:rsidR="008549F5" w:rsidRDefault="008549F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8549F5" w:rsidRPr="00CC3073" w:rsidRDefault="00E25855" w:rsidP="00E25855">
      <w:pPr>
        <w:pStyle w:val="Default"/>
        <w:tabs>
          <w:tab w:val="left" w:pos="2145"/>
        </w:tabs>
        <w:jc w:val="both"/>
        <w:rPr>
          <w:rFonts w:asciiTheme="majorHAnsi" w:hAnsiTheme="majorHAnsi" w:cstheme="minorBidi"/>
          <w:b/>
          <w:bCs/>
          <w:color w:val="auto"/>
          <w:sz w:val="18"/>
          <w:szCs w:val="18"/>
        </w:rPr>
      </w:pPr>
      <w:r>
        <w:rPr>
          <w:rFonts w:asciiTheme="majorHAnsi" w:hAnsiTheme="majorHAnsi" w:cstheme="minorBidi"/>
          <w:b/>
          <w:bCs/>
          <w:color w:val="auto"/>
          <w:sz w:val="18"/>
          <w:szCs w:val="18"/>
        </w:rPr>
        <w:tab/>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eastAsia="es-BO"/>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E25855" w:rsidRPr="00CC3073" w:rsidRDefault="00E25855" w:rsidP="008549F5">
      <w:pPr>
        <w:pStyle w:val="Default"/>
        <w:ind w:left="426"/>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Km/hr EN CARRETERAS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eastAsia="es-BO"/>
        </w:rPr>
        <w:lastRenderedPageBreak/>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eastAsia="es-BO"/>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eastAsia="es-BO"/>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km/hr.</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izaje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hrs. y terminar a las 18:30 hrs.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w:t>
      </w:r>
      <w:r w:rsidRPr="00CC3073">
        <w:rPr>
          <w:rFonts w:asciiTheme="majorHAnsi" w:hAnsiTheme="majorHAnsi"/>
          <w:color w:val="auto"/>
          <w:sz w:val="18"/>
          <w:szCs w:val="18"/>
        </w:rPr>
        <w:lastRenderedPageBreak/>
        <w:t xml:space="preserve">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camps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w:t>
      </w:r>
      <w:r w:rsidRPr="00CC3073">
        <w:rPr>
          <w:rFonts w:asciiTheme="majorHAnsi" w:hAnsiTheme="majorHAnsi"/>
          <w:color w:val="auto"/>
          <w:sz w:val="18"/>
          <w:szCs w:val="18"/>
        </w:rPr>
        <w:lastRenderedPageBreak/>
        <w:t xml:space="preserve">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El contratista tiene la obligación de enviar de manera mensual la información de Salud y Seguridad del mes (Hrs.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izaje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diesel,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overall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portagafa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Bolso o portagafa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Puede utilizarse también las gafas para todo ambiente (fotocromática)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Personal que utiliza lentes con prescripción médica de estas características, debe usar lentes según la norma ANSI Z-87 o protección encima de las mismas antiparras (goggles).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fileteadores-catering)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por ejemplo, zapatos de seguridad para trabajos en ambientes fríos los cuales tienen una protección contra el frío (insulados).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932E94"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sopletearse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reflectivos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reflectivas en el chaleco para una localización rápida. Conforme al requisito del procedimiento y del permiso de trabajo respectivo, se considera el uso de chalecos toda vez que se trabaja cerca (hasta 1 mt. de distancia) o en fuentes donde el nivel de profundidad del agua (liquido) sea superior a 0,50 mts.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Polainas y protección corporal: Para realizar trabajos con equipo rotativo o en movimiento que pueda impactar al cuerpo se deben usar pecheras especiales y si es requerido también tener protección de las piernas. Los trajes de tyvek son utilizados para limpieza de derrames, ingreso a espacios confinados. En algunos casos se podrá requerir ropa con capacidad retardante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Es requisito que la empresa contratista cuente con el stock respectivo de EPP para la dotación inicial. Se recomienda mantener un stock mínimo de EPP equivalente al 30% del total de la cantidad de personas que están trabajando en el sitio. Esto también aplica para los EPP’s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w:t>
      </w:r>
      <w:r w:rsidRPr="00CC3073">
        <w:rPr>
          <w:rFonts w:asciiTheme="majorHAnsi" w:hAnsiTheme="majorHAnsi"/>
          <w:color w:val="auto"/>
          <w:sz w:val="18"/>
          <w:szCs w:val="18"/>
        </w:rPr>
        <w:lastRenderedPageBreak/>
        <w:t xml:space="preserve">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explosímetro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 </w:t>
      </w:r>
    </w:p>
    <w:p w:rsidR="00F84B62" w:rsidRDefault="00F84B62"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ó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mts se considerará como trabajo en o a diferente nivel, requiriendo que todo el personal cercano al borde de la zanja (radio de 1 mts)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Queda terminantemente prohibido el pararse o ubicarse en los bordes de zanjas o excavaciones pues existe el potencial de colapsamiento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pulg.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mts y 1,10 mts.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switches, palancas, etc. (las válvulas check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Toda actividad de trabajo en tableros eléctricos, limpieza de ductos (chancheo), pruebas hidrostáticas requerirán entre otras la aplicación del cierre y etiquetado en algunos componentes. El no cumplimiento de esta normativa puede ocasionar lesiones severas.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trabajo de cierre y etiquetado necesariamente requiere de un plano o diagrama para identificar los dispositivos que requieren la acción de bloqueo o cierre. </w:t>
      </w:r>
    </w:p>
    <w:p w:rsidR="008549F5" w:rsidRPr="00CC3073" w:rsidRDefault="008549F5" w:rsidP="00F84B62">
      <w:pPr>
        <w:pStyle w:val="Default"/>
        <w:ind w:left="284"/>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explosímetro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Fanexa.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arenadora (goma) hasta objetos aterrados y aislados, por lo tanto se debe tener extremo cuidado que no exista una atmósfera inflamable en el sitio, asimismo, es mandatorio la utilización de un Control de Hombre Muerto “Death man control device”,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El concepto de vehículo comprende: autos, camionetas, vagonetas, cisternas, buses, micros, trufis,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 aceptable la utilización de vehículos del tipo “Transformer”,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E25855"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las carreteras asfaltadas 80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y carreteras ripiadas 60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de tierra 40 Km/Hr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el Derecho de vía 30 Km/Hr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horario de conducción es desde las 06:00 hrs. hasta las 19:00 hrs.,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reflectivos.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Semi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trailer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Default="008549F5" w:rsidP="008549F5">
      <w:pPr>
        <w:pStyle w:val="Default"/>
        <w:jc w:val="both"/>
        <w:rPr>
          <w:rFonts w:asciiTheme="majorHAnsi" w:hAnsiTheme="majorHAnsi"/>
          <w:b/>
          <w:bCs/>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(ej: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de la misma manera disponer de franjas reflectivas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CC3073" w:rsidRDefault="008549F5"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reflectivas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soporte del guinche (si aplicara) en el parachoques delantero deberá tener las revisiones semestrales de integridad para evitar roturas y fatiga durante el uso. </w:t>
      </w:r>
    </w:p>
    <w:p w:rsidR="008549F5" w:rsidRPr="00CC3073" w:rsidRDefault="008549F5"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Semi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Semi-pesados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mm.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1.5 a 4 Kgs.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mm. de ancho y 440 mm.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mts.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lastRenderedPageBreak/>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el neutral. El punto estrella del generador debe ser aterrado usando una varilla de cobre de 3 metros de largo y 20 mm de diámetro. La resistencia en la tierra debe ser de 25 ohms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Todos los paneles de distribución deben ser totalmente cerrados, los circuitos adecuadamente protegidos por interruptores (breakers)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motosoldadores etc. deben disponer de circuitos diferenciados de protección (conocidos como GFCI Ground Fault Circuit Interruptor) con una capacidad de aislamiento de 30 mili amperes y un programa de aterramientos con resistividad menor a los 25 ohms,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cepilladoras,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w:t>
      </w:r>
      <w:r w:rsidRPr="008549F5">
        <w:rPr>
          <w:rFonts w:asciiTheme="majorHAnsi" w:hAnsiTheme="majorHAnsi"/>
          <w:color w:val="auto"/>
          <w:sz w:val="18"/>
          <w:szCs w:val="18"/>
        </w:rPr>
        <w:lastRenderedPageBreak/>
        <w:t xml:space="preserve">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anticorte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los sopletes de corte y soldado con oxiacetileno deben tener válvulas de retención aprobadas por el fabricante (arrestadores de llama- flashback arrestor)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descalibrados,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motosoldadora,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motosoldador deba ser movilizado por áreas de circulación urbana y carreteras, debe disponer de letreros, luces, señalización y la conexión al vehículo aprobada y con su seguro (pasador) y cadena antichoque.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motosoldadores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reflectivos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8549F5" w:rsidRDefault="008549F5"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f) Rombo identificativo de la NFPA (National Fire Protection Association).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h) Material para derrames, consistente en paños absorbentes, material absorbentes de hidrocarburos (peat sorb, por ejemplo) y geomembrana.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geomembrana impermeabilizante y de acuerdo al caso, el almacenamiento de combustible debe estar protegido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mts.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eastAsia="es-BO"/>
        </w:rPr>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8549F5" w:rsidRPr="00CC3073" w:rsidRDefault="008549F5" w:rsidP="00DC5AA5">
      <w:pPr>
        <w:pStyle w:val="Default"/>
        <w:ind w:firstLine="284"/>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a) Diseño Interno: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rompe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mm. (16 pulg.)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antideslizable para acceder desde la parte superior del tanque.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25855" w:rsidP="00E25855">
      <w:pPr>
        <w:pStyle w:val="Default"/>
        <w:tabs>
          <w:tab w:val="left" w:pos="7650"/>
        </w:tabs>
        <w:jc w:val="both"/>
        <w:rPr>
          <w:rFonts w:asciiTheme="majorHAnsi" w:hAnsiTheme="majorHAnsi"/>
          <w:color w:val="auto"/>
          <w:sz w:val="18"/>
          <w:szCs w:val="18"/>
        </w:rPr>
      </w:pPr>
      <w:r>
        <w:rPr>
          <w:rFonts w:asciiTheme="majorHAnsi" w:hAnsiTheme="majorHAnsi"/>
          <w:color w:val="auto"/>
          <w:sz w:val="18"/>
          <w:szCs w:val="18"/>
        </w:rPr>
        <w:tab/>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peat sorb o aserrín, pala, plástico o geomembrana, traje protector de tyvek,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lbs. de polvo químico seco tipo BC o extintor de 30 lbs. de espuma AFFF. Este requerimiento es mínimo para cisternas de 10.000 litros. </w:t>
      </w:r>
    </w:p>
    <w:p w:rsidR="008549F5" w:rsidRPr="00CC3073" w:rsidRDefault="008549F5" w:rsidP="00E53DC1">
      <w:pPr>
        <w:pStyle w:val="Default"/>
        <w:ind w:left="567" w:hanging="283"/>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mts)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Chancheo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deben estar claramente etiquetados con el nombre del gas y la identificación de la NFPA (National Fire Protection Association.)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 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distancias cortas, los cilindros pueden ser transportados manualmente ladeando y girando sobre los contornos del fondo. </w:t>
      </w:r>
    </w:p>
    <w:p w:rsidR="008549F5" w:rsidRPr="00CC3073" w:rsidRDefault="008549F5" w:rsidP="00E53DC1">
      <w:pPr>
        <w:pStyle w:val="Default"/>
        <w:ind w:left="567" w:hanging="283"/>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E53DC1">
      <w:pPr>
        <w:pStyle w:val="Default"/>
        <w:ind w:left="567" w:hanging="283"/>
        <w:jc w:val="both"/>
        <w:rPr>
          <w:rFonts w:asciiTheme="majorHAnsi" w:hAnsiTheme="majorHAnsi"/>
          <w:color w:val="auto"/>
          <w:sz w:val="18"/>
          <w:szCs w:val="18"/>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arrestor).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w:t>
      </w:r>
      <w:r w:rsidRPr="00CC3073">
        <w:rPr>
          <w:rFonts w:asciiTheme="majorHAnsi" w:hAnsiTheme="majorHAnsi"/>
          <w:b/>
          <w:bCs/>
          <w:color w:val="auto"/>
          <w:sz w:val="18"/>
          <w:szCs w:val="18"/>
        </w:rPr>
        <w:t xml:space="preserve">obligatoriamente </w:t>
      </w:r>
      <w:r w:rsidRPr="00CC3073">
        <w:rPr>
          <w:rFonts w:asciiTheme="majorHAnsi" w:hAnsiTheme="majorHAnsi"/>
          <w:color w:val="auto"/>
          <w:sz w:val="18"/>
          <w:szCs w:val="18"/>
        </w:rPr>
        <w:t xml:space="preserve">de equipos lavaderos fijos o portátiles de ojos y duchas cuando aplique.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hidrogrúas, elementos de elevación, trípodes, etc., la empresa contratista debe cumplir las siguientes reglas que garanticen la seguridad del personal, del equipo y las instalaciones: </w:t>
      </w:r>
    </w:p>
    <w:p w:rsidR="008549F5" w:rsidRPr="00CC3073" w:rsidRDefault="008549F5" w:rsidP="001756B9">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equipos y accesorios de izaje (hidrogrúas, grúas, trípodes, plumas, extensiones, sideboom,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1756B9">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izaje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izaje, previo al izaje o movimiento de cargas es mandataria la realización de un diagrama de cargas (plan de izaje).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permitirá el empleo de equipos de izaje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operabilidad.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parar un equipo pesado (sideboom,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E53DC1" w:rsidRPr="00CC3073" w:rsidRDefault="00E53DC1" w:rsidP="001756B9">
      <w:pPr>
        <w:pStyle w:val="Default"/>
        <w:numPr>
          <w:ilvl w:val="0"/>
          <w:numId w:val="12"/>
        </w:numPr>
        <w:ind w:left="709" w:hanging="142"/>
        <w:jc w:val="both"/>
        <w:rPr>
          <w:rFonts w:asciiTheme="majorHAnsi" w:hAnsiTheme="majorHAnsi"/>
          <w:color w:val="auto"/>
          <w:sz w:val="18"/>
          <w:szCs w:val="18"/>
        </w:rPr>
      </w:pP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E53DC1" w:rsidRPr="00CC3073" w:rsidRDefault="00E53DC1" w:rsidP="001756B9">
      <w:pPr>
        <w:pStyle w:val="Default"/>
        <w:numPr>
          <w:ilvl w:val="0"/>
          <w:numId w:val="12"/>
        </w:numPr>
        <w:ind w:left="709" w:hanging="142"/>
        <w:jc w:val="both"/>
        <w:rPr>
          <w:rFonts w:asciiTheme="majorHAnsi" w:hAnsiTheme="majorHAnsi"/>
          <w:color w:val="auto"/>
          <w:sz w:val="18"/>
          <w:szCs w:val="18"/>
        </w:rPr>
      </w:pP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desenergizar). La instalación de cintas demarcatorias o de advertencia en los lugares donde existen cables es también una práctica recomendada. </w:t>
      </w:r>
    </w:p>
    <w:p w:rsidR="00E53DC1" w:rsidRPr="00CC3073" w:rsidRDefault="00E53DC1" w:rsidP="001756B9">
      <w:pPr>
        <w:pStyle w:val="Default"/>
        <w:numPr>
          <w:ilvl w:val="0"/>
          <w:numId w:val="12"/>
        </w:numPr>
        <w:ind w:left="709" w:hanging="142"/>
        <w:jc w:val="both"/>
        <w:rPr>
          <w:rFonts w:asciiTheme="majorHAnsi" w:hAnsiTheme="majorHAnsi"/>
          <w:color w:val="auto"/>
          <w:sz w:val="18"/>
          <w:szCs w:val="18"/>
        </w:rPr>
      </w:pPr>
    </w:p>
    <w:p w:rsidR="008549F5" w:rsidRPr="00CC3073"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p w:rsidR="008549F5" w:rsidRPr="00CC3073" w:rsidRDefault="008549F5" w:rsidP="008549F5">
      <w:pPr>
        <w:pStyle w:val="Default"/>
        <w:jc w:val="both"/>
        <w:rPr>
          <w:rFonts w:asciiTheme="majorHAnsi" w:hAnsiTheme="majorHAnsi"/>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(kV)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ED7B2B" w:rsidRDefault="00ED7B2B" w:rsidP="00E53DC1">
      <w:pPr>
        <w:pStyle w:val="Default"/>
        <w:ind w:left="709" w:hanging="283"/>
        <w:jc w:val="both"/>
        <w:rPr>
          <w:rFonts w:asciiTheme="majorHAnsi" w:hAnsiTheme="majorHAnsi" w:cstheme="minorBidi"/>
          <w:color w:val="auto"/>
          <w:sz w:val="18"/>
          <w:szCs w:val="18"/>
        </w:rPr>
      </w:pPr>
    </w:p>
    <w:p w:rsidR="00ED7B2B" w:rsidRPr="00ED7B2B" w:rsidRDefault="00ED7B2B" w:rsidP="00ED7B2B">
      <w:pPr>
        <w:rPr>
          <w:lang w:val="es-BO" w:eastAsia="en-US"/>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 Cuando sea difícil para el operador de la grúa mantener un espacio libre por medios visibles, se deberá designar a una persona para que observe el espacio entre los cables de tendido electrizados y la grúa y su carga. </w:t>
      </w:r>
    </w:p>
    <w:p w:rsidR="00E53DC1" w:rsidRPr="00CC3073" w:rsidRDefault="00E53DC1" w:rsidP="001756B9">
      <w:pPr>
        <w:pStyle w:val="Default"/>
        <w:numPr>
          <w:ilvl w:val="0"/>
          <w:numId w:val="13"/>
        </w:numPr>
        <w:ind w:left="709" w:hanging="283"/>
        <w:jc w:val="both"/>
        <w:rPr>
          <w:rFonts w:asciiTheme="majorHAnsi" w:hAnsiTheme="majorHAns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w:t>
      </w:r>
      <w:bookmarkStart w:id="0" w:name="_GoBack"/>
      <w:bookmarkEnd w:id="0"/>
      <w:r w:rsidRPr="00CC3073">
        <w:rPr>
          <w:rFonts w:asciiTheme="majorHAnsi" w:hAnsiTheme="majorHAnsi"/>
          <w:color w:val="auto"/>
          <w:sz w:val="18"/>
          <w:szCs w:val="18"/>
        </w:rPr>
        <w:t xml:space="preserve">seguir las precauciones requeridas. Estos dispositivos no reemplazan desconectar la corriente y poner los cables a tierra o mantener espacios de seguridad en las líneas. </w:t>
      </w:r>
    </w:p>
    <w:p w:rsidR="00E53DC1" w:rsidRDefault="00E53DC1" w:rsidP="00E53DC1">
      <w:pPr>
        <w:pStyle w:val="Prrafodelista"/>
        <w:rPr>
          <w:rFonts w:asciiTheme="majorHAnsi" w:hAnsiTheme="majorHAnsi"/>
          <w:sz w:val="18"/>
          <w:szCs w:val="18"/>
        </w:rPr>
      </w:pP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de equipo pesado de un punto a otro deberá realizarse utilizando el transporte adecuado para ese fin (low boy).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izaje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mts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sidebooms, plumas, etc. se deberá necesariamente tener una guía o soga para mover la carga, siendo mandatario también la existencia de un banderillero de la operación.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Plan de Emergencia debe incluir todas las posibles contingencias que pudieran ocurrir en el sitio de trabajo, tomando en cuenta terremotos, eventos de seguridad patrimonial, etc. Los posibles escenarios que deben contemplarse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5751E5" w:rsidRDefault="008549F5" w:rsidP="005751E5">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5751E5" w:rsidRDefault="005751E5" w:rsidP="005751E5">
      <w:pPr>
        <w:pStyle w:val="Default"/>
        <w:jc w:val="both"/>
        <w:rPr>
          <w:rFonts w:asciiTheme="majorHAnsi" w:hAnsiTheme="majorHAnsi"/>
          <w:color w:val="auto"/>
          <w:sz w:val="18"/>
          <w:szCs w:val="18"/>
        </w:rPr>
      </w:pPr>
    </w:p>
    <w:p w:rsidR="008549F5" w:rsidRDefault="008549F5" w:rsidP="005751E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E53DC1" w:rsidRPr="00CC3073" w:rsidRDefault="00E53DC1" w:rsidP="00E53DC1">
      <w:pPr>
        <w:pStyle w:val="Default"/>
        <w:ind w:left="709"/>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labores que se ejecutan. Posteriormente deben ser registradas en actas indicando el tema tratado, observaciones, sugerencias y asistentes. Estas actas serán verificadas por el Supervisor de YPFB CORPORACIÓN en cualquier momento.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Remoción de cuerpos extraños (no incrustados) de los ojos u otra parte del cuerpo solo con presión de agua, gotas o algodón humedecido (cotonetes).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generar reporte de indicadores de acuerdo a la siguiente clasificación: </w:t>
      </w: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Pr="00CC3073" w:rsidRDefault="008549F5" w:rsidP="008549F5">
      <w:pPr>
        <w:pStyle w:val="Default"/>
        <w:jc w:val="both"/>
        <w:rPr>
          <w:rFonts w:asciiTheme="majorHAnsi" w:hAnsiTheme="majorHAnsi" w:cstheme="minorBidi"/>
          <w:color w:val="auto"/>
          <w:sz w:val="18"/>
          <w:szCs w:val="18"/>
        </w:rPr>
      </w:pPr>
      <w:r>
        <w:rPr>
          <w:noProof/>
          <w:lang w:eastAsia="es-BO"/>
        </w:rPr>
        <w:lastRenderedPageBreak/>
        <w:drawing>
          <wp:inline distT="0" distB="0" distL="0" distR="0" wp14:anchorId="61662288" wp14:editId="2647B192">
            <wp:extent cx="5612130" cy="3728085"/>
            <wp:effectExtent l="0" t="0" r="762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3728085"/>
                    </a:xfrm>
                    <a:prstGeom prst="rect">
                      <a:avLst/>
                    </a:prstGeom>
                  </pic:spPr>
                </pic:pic>
              </a:graphicData>
            </a:graphic>
          </wp:inline>
        </w:drawing>
      </w:r>
    </w:p>
    <w:p w:rsidR="008549F5" w:rsidRPr="00CC3073" w:rsidRDefault="008549F5" w:rsidP="008549F5">
      <w:pPr>
        <w:jc w:val="both"/>
        <w:rPr>
          <w:rFonts w:asciiTheme="majorHAnsi" w:hAnsiTheme="majorHAnsi"/>
          <w:sz w:val="18"/>
          <w:szCs w:val="18"/>
        </w:rPr>
      </w:pPr>
    </w:p>
    <w:sectPr w:rsidR="008549F5" w:rsidRPr="00CC3073" w:rsidSect="005751E5">
      <w:headerReference w:type="default" r:id="rId16"/>
      <w:footerReference w:type="default" r:id="rId17"/>
      <w:pgSz w:w="12240" w:h="15840"/>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C5E" w:rsidRDefault="008B2C5E" w:rsidP="008710E5">
      <w:r>
        <w:separator/>
      </w:r>
    </w:p>
  </w:endnote>
  <w:endnote w:type="continuationSeparator" w:id="0">
    <w:p w:rsidR="008B2C5E" w:rsidRDefault="008B2C5E"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1"/>
      <w:tblW w:w="10343" w:type="dxa"/>
      <w:jc w:val="center"/>
      <w:tblLayout w:type="fixed"/>
      <w:tblLook w:val="04A0" w:firstRow="1" w:lastRow="0" w:firstColumn="1" w:lastColumn="0" w:noHBand="0" w:noVBand="1"/>
    </w:tblPr>
    <w:tblGrid>
      <w:gridCol w:w="3397"/>
      <w:gridCol w:w="3686"/>
      <w:gridCol w:w="3260"/>
    </w:tblGrid>
    <w:tr w:rsidR="005E6345" w:rsidRPr="00E25855" w:rsidTr="005E6345">
      <w:trPr>
        <w:trHeight w:val="98"/>
        <w:jc w:val="center"/>
      </w:trPr>
      <w:tc>
        <w:tcPr>
          <w:tcW w:w="3397" w:type="dxa"/>
        </w:tcPr>
        <w:p w:rsidR="005E6345" w:rsidRPr="00E25855" w:rsidRDefault="005E6345" w:rsidP="00E25855">
          <w:pPr>
            <w:tabs>
              <w:tab w:val="center" w:pos="4252"/>
              <w:tab w:val="right" w:pos="8504"/>
            </w:tabs>
            <w:rPr>
              <w:rFonts w:ascii="Calibri" w:hAnsi="Calibri"/>
              <w:sz w:val="16"/>
              <w:szCs w:val="20"/>
            </w:rPr>
          </w:pPr>
          <w:r w:rsidRPr="00E25855">
            <w:rPr>
              <w:rFonts w:ascii="Calibri" w:hAnsi="Calibri"/>
              <w:sz w:val="16"/>
              <w:szCs w:val="20"/>
            </w:rPr>
            <w:t>ELABORADO POR</w:t>
          </w:r>
        </w:p>
      </w:tc>
      <w:tc>
        <w:tcPr>
          <w:tcW w:w="3686" w:type="dxa"/>
        </w:tcPr>
        <w:p w:rsidR="005E6345" w:rsidRPr="00E25855" w:rsidRDefault="005E6345" w:rsidP="00E25855">
          <w:pPr>
            <w:tabs>
              <w:tab w:val="center" w:pos="4252"/>
              <w:tab w:val="right" w:pos="8504"/>
            </w:tabs>
            <w:rPr>
              <w:rFonts w:ascii="Calibri" w:hAnsi="Calibri"/>
              <w:sz w:val="16"/>
              <w:szCs w:val="20"/>
            </w:rPr>
          </w:pPr>
          <w:r w:rsidRPr="00E25855">
            <w:rPr>
              <w:rFonts w:ascii="Calibri" w:hAnsi="Calibri"/>
              <w:sz w:val="16"/>
              <w:szCs w:val="20"/>
            </w:rPr>
            <w:t>REVISADO POR</w:t>
          </w:r>
        </w:p>
      </w:tc>
      <w:tc>
        <w:tcPr>
          <w:tcW w:w="3260" w:type="dxa"/>
        </w:tcPr>
        <w:p w:rsidR="005E6345" w:rsidRPr="00E25855" w:rsidRDefault="005E6345" w:rsidP="00E25855">
          <w:pPr>
            <w:tabs>
              <w:tab w:val="center" w:pos="4252"/>
              <w:tab w:val="right" w:pos="8504"/>
            </w:tabs>
            <w:rPr>
              <w:rFonts w:ascii="Calibri" w:hAnsi="Calibri"/>
              <w:sz w:val="16"/>
              <w:szCs w:val="20"/>
            </w:rPr>
          </w:pPr>
          <w:r w:rsidRPr="00E25855">
            <w:rPr>
              <w:rFonts w:ascii="Calibri" w:hAnsi="Calibri"/>
              <w:sz w:val="16"/>
              <w:szCs w:val="20"/>
            </w:rPr>
            <w:t>APROBADO POR</w:t>
          </w:r>
        </w:p>
      </w:tc>
    </w:tr>
    <w:tr w:rsidR="005E6345" w:rsidRPr="00E25855" w:rsidTr="005E6345">
      <w:trPr>
        <w:trHeight w:val="591"/>
        <w:jc w:val="center"/>
      </w:trPr>
      <w:tc>
        <w:tcPr>
          <w:tcW w:w="3397" w:type="dxa"/>
        </w:tcPr>
        <w:p w:rsidR="005E6345" w:rsidRPr="00E25855" w:rsidRDefault="005E6345" w:rsidP="00E25855">
          <w:pPr>
            <w:tabs>
              <w:tab w:val="center" w:pos="4252"/>
              <w:tab w:val="right" w:pos="8504"/>
            </w:tabs>
            <w:rPr>
              <w:rFonts w:ascii="Calibri" w:hAnsi="Calibri"/>
              <w:sz w:val="16"/>
              <w:szCs w:val="20"/>
            </w:rPr>
          </w:pPr>
        </w:p>
      </w:tc>
      <w:tc>
        <w:tcPr>
          <w:tcW w:w="3686" w:type="dxa"/>
        </w:tcPr>
        <w:p w:rsidR="005E6345" w:rsidRPr="00E25855" w:rsidRDefault="005E6345" w:rsidP="00E25855">
          <w:pPr>
            <w:tabs>
              <w:tab w:val="center" w:pos="4252"/>
              <w:tab w:val="right" w:pos="8504"/>
            </w:tabs>
            <w:rPr>
              <w:rFonts w:ascii="Calibri" w:hAnsi="Calibri"/>
              <w:sz w:val="16"/>
              <w:szCs w:val="20"/>
            </w:rPr>
          </w:pPr>
        </w:p>
        <w:p w:rsidR="005E6345" w:rsidRPr="00E25855" w:rsidRDefault="005E6345" w:rsidP="00E25855">
          <w:pPr>
            <w:tabs>
              <w:tab w:val="center" w:pos="4252"/>
              <w:tab w:val="right" w:pos="8504"/>
            </w:tabs>
            <w:jc w:val="center"/>
            <w:rPr>
              <w:rFonts w:ascii="Calibri" w:hAnsi="Calibri"/>
              <w:sz w:val="16"/>
              <w:szCs w:val="20"/>
            </w:rPr>
          </w:pPr>
        </w:p>
        <w:p w:rsidR="005E6345" w:rsidRPr="00E25855" w:rsidRDefault="005E6345" w:rsidP="00E25855">
          <w:pPr>
            <w:tabs>
              <w:tab w:val="center" w:pos="4252"/>
              <w:tab w:val="right" w:pos="8504"/>
            </w:tabs>
            <w:jc w:val="center"/>
            <w:rPr>
              <w:rFonts w:ascii="Calibri" w:hAnsi="Calibri"/>
              <w:sz w:val="16"/>
              <w:szCs w:val="20"/>
            </w:rPr>
          </w:pPr>
        </w:p>
        <w:p w:rsidR="005E6345" w:rsidRPr="00E25855" w:rsidRDefault="005E6345" w:rsidP="00E25855">
          <w:pPr>
            <w:tabs>
              <w:tab w:val="left" w:pos="390"/>
              <w:tab w:val="center" w:pos="4252"/>
              <w:tab w:val="right" w:pos="8504"/>
            </w:tabs>
            <w:rPr>
              <w:rFonts w:ascii="Calibri" w:hAnsi="Calibri"/>
              <w:sz w:val="16"/>
              <w:szCs w:val="20"/>
            </w:rPr>
          </w:pPr>
          <w:r w:rsidRPr="00E25855">
            <w:rPr>
              <w:rFonts w:ascii="Calibri" w:hAnsi="Calibri"/>
              <w:sz w:val="16"/>
              <w:szCs w:val="20"/>
            </w:rPr>
            <w:tab/>
          </w:r>
        </w:p>
        <w:p w:rsidR="005E6345" w:rsidRPr="00E25855" w:rsidRDefault="005E6345" w:rsidP="00E25855">
          <w:pPr>
            <w:tabs>
              <w:tab w:val="center" w:pos="4252"/>
              <w:tab w:val="right" w:pos="8504"/>
            </w:tabs>
            <w:jc w:val="center"/>
            <w:rPr>
              <w:rFonts w:ascii="Calibri" w:hAnsi="Calibri"/>
              <w:sz w:val="16"/>
              <w:szCs w:val="20"/>
            </w:rPr>
          </w:pPr>
        </w:p>
      </w:tc>
      <w:tc>
        <w:tcPr>
          <w:tcW w:w="3260" w:type="dxa"/>
        </w:tcPr>
        <w:p w:rsidR="005E6345" w:rsidRPr="00E25855" w:rsidRDefault="005E6345" w:rsidP="00E25855">
          <w:pPr>
            <w:tabs>
              <w:tab w:val="center" w:pos="4252"/>
              <w:tab w:val="right" w:pos="8504"/>
            </w:tabs>
            <w:rPr>
              <w:rFonts w:ascii="Calibri" w:hAnsi="Calibri"/>
              <w:sz w:val="16"/>
              <w:szCs w:val="20"/>
            </w:rPr>
          </w:pPr>
        </w:p>
        <w:p w:rsidR="005E6345" w:rsidRPr="00E25855" w:rsidRDefault="005E6345" w:rsidP="00E25855">
          <w:pPr>
            <w:tabs>
              <w:tab w:val="center" w:pos="4252"/>
              <w:tab w:val="right" w:pos="8504"/>
            </w:tabs>
            <w:jc w:val="center"/>
            <w:rPr>
              <w:rFonts w:ascii="Calibri" w:hAnsi="Calibri"/>
              <w:noProof/>
              <w:sz w:val="16"/>
              <w:szCs w:val="20"/>
              <w:lang w:val="es-BO" w:eastAsia="es-BO"/>
            </w:rPr>
          </w:pPr>
        </w:p>
        <w:p w:rsidR="005E6345" w:rsidRPr="00E25855" w:rsidRDefault="005E6345" w:rsidP="00E25855">
          <w:pPr>
            <w:tabs>
              <w:tab w:val="center" w:pos="4252"/>
              <w:tab w:val="right" w:pos="8504"/>
            </w:tabs>
            <w:rPr>
              <w:rFonts w:ascii="Calibri" w:hAnsi="Calibri"/>
              <w:sz w:val="16"/>
              <w:szCs w:val="20"/>
            </w:rPr>
          </w:pPr>
        </w:p>
      </w:tc>
    </w:tr>
    <w:tr w:rsidR="005E6345" w:rsidRPr="00E25855" w:rsidTr="005E6345">
      <w:trPr>
        <w:trHeight w:val="766"/>
        <w:jc w:val="center"/>
      </w:trPr>
      <w:tc>
        <w:tcPr>
          <w:tcW w:w="3397" w:type="dxa"/>
        </w:tcPr>
        <w:p w:rsidR="005E6345" w:rsidRPr="00E25855" w:rsidRDefault="005E6345" w:rsidP="00711CC1">
          <w:pPr>
            <w:spacing w:line="276" w:lineRule="auto"/>
            <w:jc w:val="center"/>
            <w:rPr>
              <w:rFonts w:ascii="Forte" w:eastAsia="Calibri" w:hAnsi="Forte" w:cs="Arial"/>
              <w:color w:val="365F91"/>
              <w:sz w:val="18"/>
              <w:szCs w:val="12"/>
              <w:lang w:val="es-BO" w:eastAsia="es-BO"/>
            </w:rPr>
          </w:pPr>
        </w:p>
      </w:tc>
      <w:tc>
        <w:tcPr>
          <w:tcW w:w="3686" w:type="dxa"/>
          <w:vAlign w:val="center"/>
        </w:tcPr>
        <w:p w:rsidR="005E6345" w:rsidRPr="00E25855" w:rsidRDefault="005E6345" w:rsidP="00E25855">
          <w:pPr>
            <w:tabs>
              <w:tab w:val="center" w:pos="4252"/>
              <w:tab w:val="right" w:pos="8504"/>
            </w:tabs>
            <w:jc w:val="center"/>
            <w:rPr>
              <w:rFonts w:ascii="Calibri" w:hAnsi="Calibri"/>
              <w:sz w:val="12"/>
              <w:szCs w:val="12"/>
            </w:rPr>
          </w:pPr>
        </w:p>
      </w:tc>
      <w:tc>
        <w:tcPr>
          <w:tcW w:w="3260" w:type="dxa"/>
          <w:vAlign w:val="center"/>
        </w:tcPr>
        <w:p w:rsidR="005E6345" w:rsidRPr="00E25855" w:rsidRDefault="005E6345" w:rsidP="00E25855">
          <w:pPr>
            <w:tabs>
              <w:tab w:val="center" w:pos="4252"/>
              <w:tab w:val="right" w:pos="8504"/>
            </w:tabs>
            <w:jc w:val="center"/>
            <w:rPr>
              <w:rFonts w:ascii="Calibri" w:hAnsi="Calibri"/>
              <w:sz w:val="12"/>
              <w:szCs w:val="12"/>
            </w:rPr>
          </w:pPr>
        </w:p>
      </w:tc>
    </w:tr>
  </w:tbl>
  <w:p w:rsidR="005E6345" w:rsidRPr="00E25855" w:rsidRDefault="005E6345">
    <w:pPr>
      <w:pStyle w:val="Piedepgina"/>
      <w:rPr>
        <w:lang w:val="es-B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EE6" w:rsidRDefault="00285EE6" w:rsidP="00397230">
    <w:pPr>
      <w:pStyle w:val="Piedepgina"/>
      <w:rPr>
        <w:lang w:val="en-US"/>
      </w:rPr>
    </w:pPr>
    <w:r>
      <w:rPr>
        <w:lang w:val="en-US"/>
      </w:rPr>
      <w:t xml:space="preserve">        </w:t>
    </w:r>
  </w:p>
  <w:tbl>
    <w:tblPr>
      <w:tblStyle w:val="Tablaconcuadrcula1"/>
      <w:tblW w:w="10248" w:type="dxa"/>
      <w:jc w:val="center"/>
      <w:tblLayout w:type="fixed"/>
      <w:tblLook w:val="04A0" w:firstRow="1" w:lastRow="0" w:firstColumn="1" w:lastColumn="0" w:noHBand="0" w:noVBand="1"/>
    </w:tblPr>
    <w:tblGrid>
      <w:gridCol w:w="3114"/>
      <w:gridCol w:w="3685"/>
      <w:gridCol w:w="3449"/>
    </w:tblGrid>
    <w:tr w:rsidR="00285EE6" w:rsidRPr="00E25855" w:rsidTr="00D65C5F">
      <w:trPr>
        <w:trHeight w:val="98"/>
        <w:jc w:val="center"/>
      </w:trPr>
      <w:tc>
        <w:tcPr>
          <w:tcW w:w="3114" w:type="dxa"/>
        </w:tcPr>
        <w:p w:rsidR="00285EE6" w:rsidRPr="00E25855" w:rsidRDefault="00285EE6" w:rsidP="00285EE6">
          <w:pPr>
            <w:tabs>
              <w:tab w:val="center" w:pos="4252"/>
              <w:tab w:val="right" w:pos="8504"/>
            </w:tabs>
            <w:rPr>
              <w:rFonts w:ascii="Calibri" w:hAnsi="Calibri"/>
              <w:sz w:val="16"/>
              <w:szCs w:val="20"/>
            </w:rPr>
          </w:pPr>
          <w:r w:rsidRPr="00E25855">
            <w:rPr>
              <w:rFonts w:ascii="Calibri" w:hAnsi="Calibri"/>
              <w:sz w:val="16"/>
              <w:szCs w:val="20"/>
            </w:rPr>
            <w:t>ELABORADO POR</w:t>
          </w:r>
        </w:p>
      </w:tc>
      <w:tc>
        <w:tcPr>
          <w:tcW w:w="3685" w:type="dxa"/>
        </w:tcPr>
        <w:p w:rsidR="00285EE6" w:rsidRPr="00E25855" w:rsidRDefault="00285EE6" w:rsidP="00285EE6">
          <w:pPr>
            <w:tabs>
              <w:tab w:val="center" w:pos="4252"/>
              <w:tab w:val="right" w:pos="8504"/>
            </w:tabs>
            <w:rPr>
              <w:rFonts w:ascii="Calibri" w:hAnsi="Calibri"/>
              <w:sz w:val="16"/>
              <w:szCs w:val="20"/>
            </w:rPr>
          </w:pPr>
          <w:r w:rsidRPr="00E25855">
            <w:rPr>
              <w:rFonts w:ascii="Calibri" w:hAnsi="Calibri"/>
              <w:sz w:val="16"/>
              <w:szCs w:val="20"/>
            </w:rPr>
            <w:t>REVISADO POR</w:t>
          </w:r>
        </w:p>
      </w:tc>
      <w:tc>
        <w:tcPr>
          <w:tcW w:w="3449" w:type="dxa"/>
        </w:tcPr>
        <w:p w:rsidR="00285EE6" w:rsidRPr="00E25855" w:rsidRDefault="00285EE6" w:rsidP="00285EE6">
          <w:pPr>
            <w:tabs>
              <w:tab w:val="center" w:pos="4252"/>
              <w:tab w:val="right" w:pos="8504"/>
            </w:tabs>
            <w:rPr>
              <w:rFonts w:ascii="Calibri" w:hAnsi="Calibri"/>
              <w:sz w:val="16"/>
              <w:szCs w:val="20"/>
            </w:rPr>
          </w:pPr>
          <w:r w:rsidRPr="00E25855">
            <w:rPr>
              <w:rFonts w:ascii="Calibri" w:hAnsi="Calibri"/>
              <w:sz w:val="16"/>
              <w:szCs w:val="20"/>
            </w:rPr>
            <w:t>APROBADO POR</w:t>
          </w:r>
        </w:p>
      </w:tc>
    </w:tr>
    <w:tr w:rsidR="00285EE6" w:rsidRPr="00E25855" w:rsidTr="00D65C5F">
      <w:trPr>
        <w:trHeight w:val="591"/>
        <w:jc w:val="center"/>
      </w:trPr>
      <w:tc>
        <w:tcPr>
          <w:tcW w:w="3114" w:type="dxa"/>
        </w:tcPr>
        <w:p w:rsidR="00285EE6" w:rsidRPr="00E25855" w:rsidRDefault="00285EE6" w:rsidP="00285EE6">
          <w:pPr>
            <w:tabs>
              <w:tab w:val="center" w:pos="4252"/>
              <w:tab w:val="right" w:pos="8504"/>
            </w:tabs>
            <w:rPr>
              <w:rFonts w:ascii="Calibri" w:hAnsi="Calibri"/>
              <w:sz w:val="16"/>
              <w:szCs w:val="20"/>
            </w:rPr>
          </w:pPr>
        </w:p>
      </w:tc>
      <w:tc>
        <w:tcPr>
          <w:tcW w:w="3685" w:type="dxa"/>
        </w:tcPr>
        <w:p w:rsidR="00285EE6" w:rsidRPr="00E25855" w:rsidRDefault="00285EE6" w:rsidP="00285EE6">
          <w:pPr>
            <w:tabs>
              <w:tab w:val="center" w:pos="4252"/>
              <w:tab w:val="right" w:pos="8504"/>
            </w:tabs>
            <w:rPr>
              <w:rFonts w:ascii="Calibri" w:hAnsi="Calibri"/>
              <w:sz w:val="16"/>
              <w:szCs w:val="20"/>
            </w:rPr>
          </w:pPr>
        </w:p>
        <w:p w:rsidR="00285EE6" w:rsidRPr="00E25855" w:rsidRDefault="00285EE6" w:rsidP="00285EE6">
          <w:pPr>
            <w:tabs>
              <w:tab w:val="center" w:pos="4252"/>
              <w:tab w:val="right" w:pos="8504"/>
            </w:tabs>
            <w:jc w:val="center"/>
            <w:rPr>
              <w:rFonts w:ascii="Calibri" w:hAnsi="Calibri"/>
              <w:sz w:val="16"/>
              <w:szCs w:val="20"/>
            </w:rPr>
          </w:pPr>
        </w:p>
        <w:p w:rsidR="00285EE6" w:rsidRPr="00E25855" w:rsidRDefault="00285EE6" w:rsidP="00285EE6">
          <w:pPr>
            <w:tabs>
              <w:tab w:val="center" w:pos="4252"/>
              <w:tab w:val="right" w:pos="8504"/>
            </w:tabs>
            <w:jc w:val="center"/>
            <w:rPr>
              <w:rFonts w:ascii="Calibri" w:hAnsi="Calibri"/>
              <w:sz w:val="16"/>
              <w:szCs w:val="20"/>
            </w:rPr>
          </w:pPr>
        </w:p>
        <w:p w:rsidR="00285EE6" w:rsidRPr="00E25855" w:rsidRDefault="00285EE6" w:rsidP="00285EE6">
          <w:pPr>
            <w:tabs>
              <w:tab w:val="left" w:pos="390"/>
              <w:tab w:val="center" w:pos="4252"/>
              <w:tab w:val="right" w:pos="8504"/>
            </w:tabs>
            <w:rPr>
              <w:rFonts w:ascii="Calibri" w:hAnsi="Calibri"/>
              <w:sz w:val="16"/>
              <w:szCs w:val="20"/>
            </w:rPr>
          </w:pPr>
          <w:r w:rsidRPr="00E25855">
            <w:rPr>
              <w:rFonts w:ascii="Calibri" w:hAnsi="Calibri"/>
              <w:sz w:val="16"/>
              <w:szCs w:val="20"/>
            </w:rPr>
            <w:tab/>
          </w:r>
        </w:p>
        <w:p w:rsidR="00285EE6" w:rsidRPr="00E25855" w:rsidRDefault="00285EE6" w:rsidP="00285EE6">
          <w:pPr>
            <w:tabs>
              <w:tab w:val="center" w:pos="4252"/>
              <w:tab w:val="right" w:pos="8504"/>
            </w:tabs>
            <w:jc w:val="center"/>
            <w:rPr>
              <w:rFonts w:ascii="Calibri" w:hAnsi="Calibri"/>
              <w:sz w:val="16"/>
              <w:szCs w:val="20"/>
            </w:rPr>
          </w:pPr>
        </w:p>
      </w:tc>
      <w:tc>
        <w:tcPr>
          <w:tcW w:w="3449" w:type="dxa"/>
        </w:tcPr>
        <w:p w:rsidR="00285EE6" w:rsidRPr="00E25855" w:rsidRDefault="00285EE6" w:rsidP="00285EE6">
          <w:pPr>
            <w:tabs>
              <w:tab w:val="center" w:pos="4252"/>
              <w:tab w:val="right" w:pos="8504"/>
            </w:tabs>
            <w:rPr>
              <w:rFonts w:ascii="Calibri" w:hAnsi="Calibri"/>
              <w:sz w:val="16"/>
              <w:szCs w:val="20"/>
            </w:rPr>
          </w:pPr>
        </w:p>
        <w:p w:rsidR="00285EE6" w:rsidRPr="00E25855" w:rsidRDefault="00285EE6" w:rsidP="00285EE6">
          <w:pPr>
            <w:tabs>
              <w:tab w:val="center" w:pos="4252"/>
              <w:tab w:val="right" w:pos="8504"/>
            </w:tabs>
            <w:jc w:val="center"/>
            <w:rPr>
              <w:rFonts w:ascii="Calibri" w:hAnsi="Calibri"/>
              <w:noProof/>
              <w:sz w:val="16"/>
              <w:szCs w:val="20"/>
              <w:lang w:val="es-BO" w:eastAsia="es-BO"/>
            </w:rPr>
          </w:pPr>
        </w:p>
        <w:p w:rsidR="00285EE6" w:rsidRPr="00E25855" w:rsidRDefault="00285EE6" w:rsidP="00285EE6">
          <w:pPr>
            <w:tabs>
              <w:tab w:val="center" w:pos="4252"/>
              <w:tab w:val="right" w:pos="8504"/>
            </w:tabs>
            <w:rPr>
              <w:rFonts w:ascii="Calibri" w:hAnsi="Calibri"/>
              <w:sz w:val="16"/>
              <w:szCs w:val="20"/>
            </w:rPr>
          </w:pPr>
        </w:p>
      </w:tc>
    </w:tr>
    <w:tr w:rsidR="00285EE6" w:rsidRPr="00E25855" w:rsidTr="00D65C5F">
      <w:trPr>
        <w:trHeight w:val="766"/>
        <w:jc w:val="center"/>
      </w:trPr>
      <w:tc>
        <w:tcPr>
          <w:tcW w:w="3114" w:type="dxa"/>
        </w:tcPr>
        <w:p w:rsidR="00285EE6" w:rsidRPr="00E25855" w:rsidRDefault="00285EE6" w:rsidP="005751E5">
          <w:pPr>
            <w:spacing w:line="276" w:lineRule="auto"/>
            <w:jc w:val="center"/>
            <w:rPr>
              <w:rFonts w:ascii="Forte" w:eastAsia="Calibri" w:hAnsi="Forte" w:cs="Arial"/>
              <w:color w:val="365F91"/>
              <w:sz w:val="18"/>
              <w:szCs w:val="12"/>
              <w:lang w:val="es-BO" w:eastAsia="es-BO"/>
            </w:rPr>
          </w:pPr>
        </w:p>
      </w:tc>
      <w:tc>
        <w:tcPr>
          <w:tcW w:w="3685" w:type="dxa"/>
          <w:vAlign w:val="center"/>
        </w:tcPr>
        <w:p w:rsidR="00285EE6" w:rsidRPr="00E25855" w:rsidRDefault="00285EE6" w:rsidP="00285EE6">
          <w:pPr>
            <w:tabs>
              <w:tab w:val="center" w:pos="4252"/>
              <w:tab w:val="right" w:pos="8504"/>
            </w:tabs>
            <w:jc w:val="center"/>
            <w:rPr>
              <w:rFonts w:ascii="Calibri" w:hAnsi="Calibri"/>
              <w:sz w:val="12"/>
              <w:szCs w:val="12"/>
            </w:rPr>
          </w:pPr>
        </w:p>
      </w:tc>
      <w:tc>
        <w:tcPr>
          <w:tcW w:w="3449" w:type="dxa"/>
          <w:vAlign w:val="center"/>
        </w:tcPr>
        <w:p w:rsidR="00285EE6" w:rsidRPr="00E25855" w:rsidRDefault="00285EE6" w:rsidP="00285EE6">
          <w:pPr>
            <w:tabs>
              <w:tab w:val="center" w:pos="4252"/>
              <w:tab w:val="right" w:pos="8504"/>
            </w:tabs>
            <w:jc w:val="center"/>
            <w:rPr>
              <w:rFonts w:ascii="Calibri" w:hAnsi="Calibri"/>
              <w:sz w:val="12"/>
              <w:szCs w:val="12"/>
            </w:rPr>
          </w:pPr>
        </w:p>
      </w:tc>
    </w:tr>
  </w:tbl>
  <w:p w:rsidR="005E6345" w:rsidRPr="00285EE6" w:rsidRDefault="00285EE6" w:rsidP="00397230">
    <w:pPr>
      <w:pStyle w:val="Piedepgina"/>
      <w:rPr>
        <w:lang w:val="es-BO"/>
      </w:rPr>
    </w:pPr>
    <w:r w:rsidRPr="00285EE6">
      <w:rPr>
        <w:lang w:val="es-BO"/>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C5E" w:rsidRDefault="008B2C5E" w:rsidP="008710E5">
      <w:r>
        <w:separator/>
      </w:r>
    </w:p>
  </w:footnote>
  <w:footnote w:type="continuationSeparator" w:id="0">
    <w:p w:rsidR="008B2C5E" w:rsidRDefault="008B2C5E"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E6345" w:rsidRPr="00FA0D94" w:rsidTr="00397230">
      <w:tc>
        <w:tcPr>
          <w:tcW w:w="1446" w:type="dxa"/>
          <w:vMerge w:val="restart"/>
          <w:vAlign w:val="center"/>
        </w:tcPr>
        <w:p w:rsidR="005E6345" w:rsidRPr="00FA0D94" w:rsidRDefault="005E6345" w:rsidP="00397230">
          <w:pPr>
            <w:pStyle w:val="Encabezado"/>
            <w:rPr>
              <w:rFonts w:ascii="Arial Narrow" w:eastAsia="Arial Unicode MS" w:hAnsi="Arial Narrow"/>
              <w:szCs w:val="12"/>
              <w:lang w:val="es-MX"/>
            </w:rPr>
          </w:pPr>
          <w:r w:rsidRPr="00454F7C">
            <w:rPr>
              <w:noProof/>
              <w:lang w:val="es-BO" w:eastAsia="es-BO"/>
            </w:rPr>
            <w:drawing>
              <wp:inline distT="0" distB="0" distL="0" distR="0" wp14:anchorId="397E37D5" wp14:editId="3A30B7AD">
                <wp:extent cx="773475" cy="533400"/>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5E6345" w:rsidRDefault="005E6345" w:rsidP="00397230">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5E6345" w:rsidRPr="0076024C" w:rsidRDefault="005E6345" w:rsidP="00E2585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w:t>
          </w:r>
          <w:r w:rsidR="00D65C5F">
            <w:rPr>
              <w:rFonts w:ascii="Calibri" w:eastAsia="Arial Unicode MS" w:hAnsi="Calibri" w:cs="Calibri"/>
              <w:b/>
              <w:sz w:val="18"/>
              <w:szCs w:val="18"/>
              <w:lang w:val="es-MX"/>
            </w:rPr>
            <w:t xml:space="preserve"> OPERACIÓN Y</w:t>
          </w:r>
          <w:r>
            <w:rPr>
              <w:rFonts w:ascii="Calibri" w:eastAsia="Arial Unicode MS" w:hAnsi="Calibri" w:cs="Calibri"/>
              <w:b/>
              <w:sz w:val="18"/>
              <w:szCs w:val="18"/>
              <w:lang w:val="es-MX"/>
            </w:rPr>
            <w:t xml:space="preserve"> MANTENIMIENTO ORURO</w:t>
          </w:r>
        </w:p>
      </w:tc>
      <w:tc>
        <w:tcPr>
          <w:tcW w:w="1134" w:type="dxa"/>
          <w:vAlign w:val="center"/>
        </w:tcPr>
        <w:p w:rsidR="005E6345" w:rsidRPr="0076024C" w:rsidRDefault="005E6345"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E6345" w:rsidRDefault="00711CC1"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5E6345" w:rsidRPr="0076024C" w:rsidRDefault="005E6345" w:rsidP="00397230">
          <w:pPr>
            <w:pStyle w:val="Encabezado"/>
            <w:jc w:val="center"/>
            <w:rPr>
              <w:rFonts w:ascii="Calibri" w:eastAsia="Arial Unicode MS" w:hAnsi="Calibri" w:cs="Arial"/>
              <w:b/>
              <w:sz w:val="14"/>
              <w:szCs w:val="14"/>
              <w:lang w:val="es-MX"/>
            </w:rPr>
          </w:pPr>
        </w:p>
      </w:tc>
    </w:tr>
    <w:tr w:rsidR="005E6345" w:rsidRPr="00FA0D94" w:rsidTr="00397230">
      <w:trPr>
        <w:trHeight w:val="478"/>
      </w:trPr>
      <w:tc>
        <w:tcPr>
          <w:tcW w:w="1446" w:type="dxa"/>
          <w:vMerge/>
          <w:vAlign w:val="center"/>
        </w:tcPr>
        <w:p w:rsidR="005E6345" w:rsidRPr="00FA0D94" w:rsidRDefault="005E6345" w:rsidP="00397230">
          <w:pPr>
            <w:pStyle w:val="Encabezado"/>
            <w:jc w:val="center"/>
            <w:rPr>
              <w:rFonts w:ascii="Arial Narrow" w:eastAsia="Arial Unicode MS" w:hAnsi="Arial Narrow"/>
              <w:szCs w:val="12"/>
              <w:lang w:val="es-MX"/>
            </w:rPr>
          </w:pPr>
        </w:p>
      </w:tc>
      <w:tc>
        <w:tcPr>
          <w:tcW w:w="6209" w:type="dxa"/>
          <w:vAlign w:val="center"/>
        </w:tcPr>
        <w:p w:rsidR="005E6345" w:rsidRPr="0076024C" w:rsidRDefault="005E6345" w:rsidP="00711C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w:t>
          </w:r>
          <w:r w:rsidR="00711CC1">
            <w:rPr>
              <w:rFonts w:ascii="Calibri" w:eastAsia="Arial Unicode MS" w:hAnsi="Calibri" w:cs="Calibri"/>
              <w:b/>
              <w:sz w:val="18"/>
              <w:szCs w:val="18"/>
              <w:lang w:val="es-MX"/>
            </w:rPr>
            <w:t>INSTALACION Y MANTENIMIENTO DE PUNTOS DE TOMA DE NIVEL DE OLOR - DROR</w:t>
          </w:r>
        </w:p>
      </w:tc>
      <w:tc>
        <w:tcPr>
          <w:tcW w:w="1134" w:type="dxa"/>
          <w:vAlign w:val="center"/>
        </w:tcPr>
        <w:p w:rsidR="005E6345" w:rsidRPr="0076024C" w:rsidRDefault="005E6345"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E6345" w:rsidRPr="0076024C" w:rsidRDefault="005E6345"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D7B2B">
            <w:rPr>
              <w:rStyle w:val="Nmerodepgina"/>
              <w:rFonts w:ascii="Calibri" w:eastAsiaTheme="majorEastAsia" w:hAnsi="Calibri"/>
              <w:noProof/>
              <w:sz w:val="16"/>
              <w:szCs w:val="16"/>
            </w:rPr>
            <w:t>38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D7B2B">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p>
      </w:tc>
    </w:tr>
  </w:tbl>
  <w:p w:rsidR="005E6345" w:rsidRDefault="005E634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285EE6" w:rsidRPr="00FA0D94" w:rsidTr="00952DA8">
      <w:tc>
        <w:tcPr>
          <w:tcW w:w="1446" w:type="dxa"/>
          <w:vMerge w:val="restart"/>
          <w:vAlign w:val="center"/>
        </w:tcPr>
        <w:p w:rsidR="00285EE6" w:rsidRPr="00FA0D94" w:rsidRDefault="00285EE6" w:rsidP="00285EE6">
          <w:pPr>
            <w:pStyle w:val="Encabezado"/>
            <w:rPr>
              <w:rFonts w:ascii="Arial Narrow" w:eastAsia="Arial Unicode MS" w:hAnsi="Arial Narrow"/>
              <w:szCs w:val="12"/>
              <w:lang w:val="es-MX"/>
            </w:rPr>
          </w:pPr>
          <w:r w:rsidRPr="00454F7C">
            <w:rPr>
              <w:noProof/>
              <w:lang w:val="es-BO" w:eastAsia="es-BO"/>
            </w:rPr>
            <w:drawing>
              <wp:inline distT="0" distB="0" distL="0" distR="0" wp14:anchorId="34568EA4" wp14:editId="77AAF387">
                <wp:extent cx="773475" cy="5334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285EE6" w:rsidRDefault="00285EE6" w:rsidP="00285EE6">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285EE6" w:rsidRPr="0076024C" w:rsidRDefault="00285EE6" w:rsidP="00285EE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MANTENIMIENTO ORURO</w:t>
          </w:r>
        </w:p>
      </w:tc>
      <w:tc>
        <w:tcPr>
          <w:tcW w:w="1134" w:type="dxa"/>
          <w:vAlign w:val="center"/>
        </w:tcPr>
        <w:p w:rsidR="00285EE6" w:rsidRPr="0076024C" w:rsidRDefault="00285EE6" w:rsidP="00285EE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85EE6" w:rsidRDefault="00285EE6" w:rsidP="00285EE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285EE6" w:rsidRPr="0076024C" w:rsidRDefault="00285EE6" w:rsidP="00285EE6">
          <w:pPr>
            <w:pStyle w:val="Encabezado"/>
            <w:jc w:val="center"/>
            <w:rPr>
              <w:rFonts w:ascii="Calibri" w:eastAsia="Arial Unicode MS" w:hAnsi="Calibri" w:cs="Arial"/>
              <w:b/>
              <w:sz w:val="14"/>
              <w:szCs w:val="14"/>
              <w:lang w:val="es-MX"/>
            </w:rPr>
          </w:pPr>
        </w:p>
      </w:tc>
    </w:tr>
    <w:tr w:rsidR="00285EE6" w:rsidRPr="00FA0D94" w:rsidTr="00952DA8">
      <w:trPr>
        <w:trHeight w:val="478"/>
      </w:trPr>
      <w:tc>
        <w:tcPr>
          <w:tcW w:w="1446" w:type="dxa"/>
          <w:vMerge/>
          <w:vAlign w:val="center"/>
        </w:tcPr>
        <w:p w:rsidR="00285EE6" w:rsidRPr="00FA0D94" w:rsidRDefault="00285EE6" w:rsidP="00285EE6">
          <w:pPr>
            <w:pStyle w:val="Encabezado"/>
            <w:jc w:val="center"/>
            <w:rPr>
              <w:rFonts w:ascii="Arial Narrow" w:eastAsia="Arial Unicode MS" w:hAnsi="Arial Narrow"/>
              <w:szCs w:val="12"/>
              <w:lang w:val="es-MX"/>
            </w:rPr>
          </w:pPr>
        </w:p>
      </w:tc>
      <w:tc>
        <w:tcPr>
          <w:tcW w:w="6209" w:type="dxa"/>
          <w:vAlign w:val="center"/>
        </w:tcPr>
        <w:p w:rsidR="00285EE6" w:rsidRPr="0076024C" w:rsidRDefault="00285EE6" w:rsidP="009012F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w:t>
          </w:r>
          <w:r w:rsidR="009012F3">
            <w:rPr>
              <w:rFonts w:ascii="Calibri" w:eastAsia="Arial Unicode MS" w:hAnsi="Calibri" w:cs="Calibri"/>
              <w:b/>
              <w:sz w:val="18"/>
              <w:szCs w:val="18"/>
              <w:lang w:val="es-MX"/>
            </w:rPr>
            <w:t>OPTIMIZACION SISTEMA DE PROTECCION CATODICA ORURO LA JOYA</w:t>
          </w:r>
        </w:p>
      </w:tc>
      <w:tc>
        <w:tcPr>
          <w:tcW w:w="1134" w:type="dxa"/>
          <w:vAlign w:val="center"/>
        </w:tcPr>
        <w:p w:rsidR="00285EE6" w:rsidRPr="0076024C" w:rsidRDefault="00285EE6" w:rsidP="00285EE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85EE6" w:rsidRPr="0076024C" w:rsidRDefault="00285EE6" w:rsidP="00285EE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D7B2B">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D7B2B">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p>
      </w:tc>
    </w:tr>
  </w:tbl>
  <w:p w:rsidR="005E6345" w:rsidRDefault="005E634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B157F5"/>
    <w:multiLevelType w:val="hybridMultilevel"/>
    <w:tmpl w:val="8334B0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6">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9">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0"/>
  </w:num>
  <w:num w:numId="10">
    <w:abstractNumId w:val="6"/>
  </w:num>
  <w:num w:numId="11">
    <w:abstractNumId w:val="39"/>
  </w:num>
  <w:num w:numId="12">
    <w:abstractNumId w:val="7"/>
  </w:num>
  <w:num w:numId="13">
    <w:abstractNumId w:val="38"/>
  </w:num>
  <w:num w:numId="14">
    <w:abstractNumId w:val="13"/>
  </w:num>
  <w:num w:numId="15">
    <w:abstractNumId w:val="43"/>
  </w:num>
  <w:num w:numId="16">
    <w:abstractNumId w:val="11"/>
  </w:num>
  <w:num w:numId="17">
    <w:abstractNumId w:val="56"/>
  </w:num>
  <w:num w:numId="18">
    <w:abstractNumId w:val="60"/>
  </w:num>
  <w:num w:numId="19">
    <w:abstractNumId w:val="71"/>
  </w:num>
  <w:num w:numId="20">
    <w:abstractNumId w:val="64"/>
  </w:num>
  <w:num w:numId="21">
    <w:abstractNumId w:val="58"/>
  </w:num>
  <w:num w:numId="22">
    <w:abstractNumId w:val="66"/>
  </w:num>
  <w:num w:numId="23">
    <w:abstractNumId w:val="27"/>
  </w:num>
  <w:num w:numId="24">
    <w:abstractNumId w:val="32"/>
  </w:num>
  <w:num w:numId="25">
    <w:abstractNumId w:val="24"/>
  </w:num>
  <w:num w:numId="26">
    <w:abstractNumId w:val="28"/>
  </w:num>
  <w:num w:numId="27">
    <w:abstractNumId w:val="47"/>
  </w:num>
  <w:num w:numId="28">
    <w:abstractNumId w:val="57"/>
  </w:num>
  <w:num w:numId="29">
    <w:abstractNumId w:val="59"/>
  </w:num>
  <w:num w:numId="30">
    <w:abstractNumId w:val="16"/>
  </w:num>
  <w:num w:numId="31">
    <w:abstractNumId w:val="29"/>
  </w:num>
  <w:num w:numId="32">
    <w:abstractNumId w:val="23"/>
  </w:num>
  <w:num w:numId="33">
    <w:abstractNumId w:val="55"/>
  </w:num>
  <w:num w:numId="34">
    <w:abstractNumId w:val="69"/>
  </w:num>
  <w:num w:numId="35">
    <w:abstractNumId w:val="17"/>
  </w:num>
  <w:num w:numId="36">
    <w:abstractNumId w:val="34"/>
  </w:num>
  <w:num w:numId="37">
    <w:abstractNumId w:val="26"/>
  </w:num>
  <w:num w:numId="38">
    <w:abstractNumId w:val="62"/>
  </w:num>
  <w:num w:numId="39">
    <w:abstractNumId w:val="18"/>
  </w:num>
  <w:num w:numId="40">
    <w:abstractNumId w:val="9"/>
  </w:num>
  <w:num w:numId="41">
    <w:abstractNumId w:val="37"/>
  </w:num>
  <w:num w:numId="42">
    <w:abstractNumId w:val="35"/>
  </w:num>
  <w:num w:numId="43">
    <w:abstractNumId w:val="52"/>
  </w:num>
  <w:num w:numId="44">
    <w:abstractNumId w:val="40"/>
  </w:num>
  <w:num w:numId="45">
    <w:abstractNumId w:val="10"/>
  </w:num>
  <w:num w:numId="46">
    <w:abstractNumId w:val="25"/>
  </w:num>
  <w:num w:numId="47">
    <w:abstractNumId w:val="61"/>
  </w:num>
  <w:num w:numId="48">
    <w:abstractNumId w:val="31"/>
  </w:num>
  <w:num w:numId="49">
    <w:abstractNumId w:val="42"/>
  </w:num>
  <w:num w:numId="50">
    <w:abstractNumId w:val="63"/>
  </w:num>
  <w:num w:numId="51">
    <w:abstractNumId w:val="14"/>
  </w:num>
  <w:num w:numId="52">
    <w:abstractNumId w:val="30"/>
  </w:num>
  <w:num w:numId="53">
    <w:abstractNumId w:val="53"/>
  </w:num>
  <w:num w:numId="54">
    <w:abstractNumId w:val="36"/>
  </w:num>
  <w:num w:numId="55">
    <w:abstractNumId w:val="48"/>
  </w:num>
  <w:num w:numId="56">
    <w:abstractNumId w:val="22"/>
  </w:num>
  <w:num w:numId="57">
    <w:abstractNumId w:val="67"/>
  </w:num>
  <w:num w:numId="58">
    <w:abstractNumId w:val="15"/>
  </w:num>
  <w:num w:numId="59">
    <w:abstractNumId w:val="46"/>
  </w:num>
  <w:num w:numId="60">
    <w:abstractNumId w:val="44"/>
  </w:num>
  <w:num w:numId="61">
    <w:abstractNumId w:val="54"/>
  </w:num>
  <w:num w:numId="62">
    <w:abstractNumId w:val="65"/>
  </w:num>
  <w:num w:numId="63">
    <w:abstractNumId w:val="51"/>
  </w:num>
  <w:num w:numId="64">
    <w:abstractNumId w:val="70"/>
  </w:num>
  <w:num w:numId="65">
    <w:abstractNumId w:val="19"/>
  </w:num>
  <w:num w:numId="66">
    <w:abstractNumId w:val="12"/>
  </w:num>
  <w:num w:numId="67">
    <w:abstractNumId w:val="41"/>
  </w:num>
  <w:num w:numId="68">
    <w:abstractNumId w:val="20"/>
  </w:num>
  <w:num w:numId="69">
    <w:abstractNumId w:val="33"/>
  </w:num>
  <w:num w:numId="70">
    <w:abstractNumId w:val="45"/>
  </w:num>
  <w:num w:numId="71">
    <w:abstractNumId w:val="68"/>
  </w:num>
  <w:num w:numId="72">
    <w:abstractNumId w:val="4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27A46"/>
    <w:rsid w:val="000935F5"/>
    <w:rsid w:val="00096ECA"/>
    <w:rsid w:val="000B484D"/>
    <w:rsid w:val="000B5773"/>
    <w:rsid w:val="000D3526"/>
    <w:rsid w:val="000E1AF2"/>
    <w:rsid w:val="000E31CD"/>
    <w:rsid w:val="0010392E"/>
    <w:rsid w:val="00147592"/>
    <w:rsid w:val="001756B9"/>
    <w:rsid w:val="00176138"/>
    <w:rsid w:val="00181EB8"/>
    <w:rsid w:val="001A17EB"/>
    <w:rsid w:val="001C09E2"/>
    <w:rsid w:val="001F21E0"/>
    <w:rsid w:val="001F2750"/>
    <w:rsid w:val="001F60A5"/>
    <w:rsid w:val="0020768D"/>
    <w:rsid w:val="00222C12"/>
    <w:rsid w:val="00244EBA"/>
    <w:rsid w:val="00285EE6"/>
    <w:rsid w:val="00295C03"/>
    <w:rsid w:val="002E05C0"/>
    <w:rsid w:val="002F3D65"/>
    <w:rsid w:val="00366E53"/>
    <w:rsid w:val="00397230"/>
    <w:rsid w:val="003C0136"/>
    <w:rsid w:val="00415267"/>
    <w:rsid w:val="0044638B"/>
    <w:rsid w:val="004B36DA"/>
    <w:rsid w:val="004C5E24"/>
    <w:rsid w:val="00562773"/>
    <w:rsid w:val="00562CE3"/>
    <w:rsid w:val="005635A6"/>
    <w:rsid w:val="005751E5"/>
    <w:rsid w:val="005A1A21"/>
    <w:rsid w:val="005A5FF9"/>
    <w:rsid w:val="005D67B8"/>
    <w:rsid w:val="005E6345"/>
    <w:rsid w:val="005F03CA"/>
    <w:rsid w:val="00631B5F"/>
    <w:rsid w:val="006803BA"/>
    <w:rsid w:val="006860E6"/>
    <w:rsid w:val="007013C1"/>
    <w:rsid w:val="00711CC1"/>
    <w:rsid w:val="00715FD7"/>
    <w:rsid w:val="007D4042"/>
    <w:rsid w:val="007E3371"/>
    <w:rsid w:val="00853D36"/>
    <w:rsid w:val="008549F5"/>
    <w:rsid w:val="008710E5"/>
    <w:rsid w:val="008A7F89"/>
    <w:rsid w:val="008B2C5E"/>
    <w:rsid w:val="008B54B1"/>
    <w:rsid w:val="008C2D47"/>
    <w:rsid w:val="009012F3"/>
    <w:rsid w:val="00932E94"/>
    <w:rsid w:val="00933EB2"/>
    <w:rsid w:val="0094426C"/>
    <w:rsid w:val="00951010"/>
    <w:rsid w:val="00973777"/>
    <w:rsid w:val="00A240D4"/>
    <w:rsid w:val="00A536BD"/>
    <w:rsid w:val="00A759F5"/>
    <w:rsid w:val="00A927BB"/>
    <w:rsid w:val="00AD1BDF"/>
    <w:rsid w:val="00B14C80"/>
    <w:rsid w:val="00B34180"/>
    <w:rsid w:val="00B7478C"/>
    <w:rsid w:val="00BE111E"/>
    <w:rsid w:val="00BF18B7"/>
    <w:rsid w:val="00C84BFA"/>
    <w:rsid w:val="00C915E3"/>
    <w:rsid w:val="00CA4C07"/>
    <w:rsid w:val="00D65C5F"/>
    <w:rsid w:val="00D72188"/>
    <w:rsid w:val="00D9097F"/>
    <w:rsid w:val="00DC5AA5"/>
    <w:rsid w:val="00DD655A"/>
    <w:rsid w:val="00DD76D3"/>
    <w:rsid w:val="00E25855"/>
    <w:rsid w:val="00E53DC1"/>
    <w:rsid w:val="00ED014C"/>
    <w:rsid w:val="00ED122C"/>
    <w:rsid w:val="00ED7B2B"/>
    <w:rsid w:val="00EE792E"/>
    <w:rsid w:val="00F64131"/>
    <w:rsid w:val="00F84B6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E25855"/>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22063</Words>
  <Characters>121350</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3</cp:revision>
  <cp:lastPrinted>2016-10-20T20:21:00Z</cp:lastPrinted>
  <dcterms:created xsi:type="dcterms:W3CDTF">2017-07-18T16:25:00Z</dcterms:created>
  <dcterms:modified xsi:type="dcterms:W3CDTF">2017-07-18T16:25:00Z</dcterms:modified>
</cp:coreProperties>
</file>