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77" w:rsidRPr="00A33F14" w:rsidRDefault="00DE0E77" w:rsidP="006F14AC">
      <w:pPr>
        <w:jc w:val="center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015E39" w:rsidRPr="00A33F14" w:rsidRDefault="00E962F6" w:rsidP="006F14AC">
      <w:pPr>
        <w:jc w:val="center"/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>ESPECIFICACIONES TÉCNICAS</w:t>
      </w:r>
    </w:p>
    <w:p w:rsidR="007E1D97" w:rsidRPr="00A33F14" w:rsidRDefault="007E1D97" w:rsidP="006F14AC">
      <w:pPr>
        <w:jc w:val="center"/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 xml:space="preserve">OBRAS </w:t>
      </w:r>
      <w:r w:rsidR="00315109">
        <w:rPr>
          <w:rFonts w:ascii="Verdana" w:hAnsi="Verdana" w:cs="Calibri"/>
          <w:b/>
          <w:sz w:val="16"/>
          <w:szCs w:val="16"/>
        </w:rPr>
        <w:t>MECANICAS Y ELECTRICAS</w:t>
      </w:r>
    </w:p>
    <w:p w:rsidR="007E1D97" w:rsidRPr="00A33F14" w:rsidRDefault="007E1D97" w:rsidP="006F14AC">
      <w:pPr>
        <w:rPr>
          <w:rFonts w:ascii="Verdana" w:hAnsi="Verdana" w:cs="Calibri"/>
          <w:b/>
          <w:sz w:val="16"/>
          <w:szCs w:val="16"/>
        </w:rPr>
      </w:pPr>
    </w:p>
    <w:p w:rsidR="00DE0E77" w:rsidRPr="00A33F14" w:rsidRDefault="00DE0E77" w:rsidP="006F14AC">
      <w:pPr>
        <w:rPr>
          <w:rFonts w:ascii="Verdana" w:hAnsi="Verdana" w:cs="Calibri"/>
          <w:b/>
          <w:sz w:val="16"/>
          <w:szCs w:val="16"/>
        </w:rPr>
      </w:pPr>
    </w:p>
    <w:p w:rsidR="007E1D97" w:rsidRPr="00A33F14" w:rsidRDefault="007E1D97" w:rsidP="006F14AC">
      <w:pPr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>CONTENIDO</w:t>
      </w:r>
    </w:p>
    <w:p w:rsidR="00A33F14" w:rsidRPr="00A33F14" w:rsidRDefault="00A50391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r w:rsidRPr="00A33F14">
        <w:rPr>
          <w:rFonts w:ascii="Verdana" w:hAnsi="Verdana"/>
          <w:b w:val="0"/>
          <w:sz w:val="16"/>
          <w:szCs w:val="16"/>
        </w:rPr>
        <w:fldChar w:fldCharType="begin"/>
      </w:r>
      <w:r w:rsidRPr="00A33F14">
        <w:rPr>
          <w:rFonts w:ascii="Verdana" w:hAnsi="Verdana"/>
          <w:b w:val="0"/>
          <w:sz w:val="16"/>
          <w:szCs w:val="16"/>
        </w:rPr>
        <w:instrText xml:space="preserve"> TOC \o "1-3" \h \z \u </w:instrText>
      </w:r>
      <w:r w:rsidRPr="00A33F14">
        <w:rPr>
          <w:rFonts w:ascii="Verdana" w:hAnsi="Verdana"/>
          <w:b w:val="0"/>
          <w:sz w:val="16"/>
          <w:szCs w:val="16"/>
        </w:rPr>
        <w:fldChar w:fldCharType="separate"/>
      </w:r>
      <w:hyperlink w:anchor="_Toc488750015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1.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MOVILIZACIÓN Y DESMOVILIZACIÓN DE EQUIPO, MATERIAL, HERRAMIENTAS Y PERSONAL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_Toc488750015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2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9E119F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6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2.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LIMPIEZA Y RETIRO DE ESCOMBROS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_Toc488750016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3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9E119F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7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3.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REPARACION DE SOLDADURA EXOTERMICA TIPO CADWELL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_Toc488750017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4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9E119F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8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4.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CAMBIO DE TEST POINT TIPO 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_Toc488750018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5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9E119F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9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5.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RECONSTRUCCION DE TEST POINT TIPO 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_Toc488750019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6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9E119F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20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6.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CAMBIO DE BAQUELITA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_Toc488750020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7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50391" w:rsidRPr="00A50391" w:rsidRDefault="00A50391" w:rsidP="006F14AC">
      <w:pPr>
        <w:tabs>
          <w:tab w:val="left" w:pos="426"/>
        </w:tabs>
        <w:rPr>
          <w:rFonts w:ascii="Verdana" w:hAnsi="Verdana"/>
          <w:sz w:val="18"/>
          <w:szCs w:val="18"/>
        </w:rPr>
      </w:pPr>
      <w:r w:rsidRPr="00A33F14">
        <w:rPr>
          <w:rFonts w:ascii="Verdana" w:hAnsi="Verdana"/>
          <w:bCs/>
          <w:sz w:val="16"/>
          <w:szCs w:val="16"/>
        </w:rPr>
        <w:fldChar w:fldCharType="end"/>
      </w:r>
    </w:p>
    <w:p w:rsidR="00F03938" w:rsidRPr="00A50391" w:rsidRDefault="00F03938" w:rsidP="006F14AC">
      <w:pPr>
        <w:tabs>
          <w:tab w:val="left" w:pos="426"/>
        </w:tabs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:rsidR="00F03938" w:rsidRPr="00A50391" w:rsidRDefault="00F03938" w:rsidP="006F14AC">
      <w:pPr>
        <w:tabs>
          <w:tab w:val="left" w:pos="426"/>
        </w:tabs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5337A6" w:rsidRDefault="000A0805" w:rsidP="00655D7D">
      <w:pPr>
        <w:pStyle w:val="Ttulo2"/>
        <w:numPr>
          <w:ilvl w:val="0"/>
          <w:numId w:val="1"/>
        </w:numPr>
        <w:spacing w:before="0" w:after="0"/>
        <w:ind w:left="357" w:hanging="357"/>
        <w:rPr>
          <w:rFonts w:ascii="Verdana" w:hAnsi="Verdana" w:cs="Vijaya"/>
          <w:i w:val="0"/>
          <w:sz w:val="16"/>
          <w:szCs w:val="16"/>
        </w:rPr>
      </w:pPr>
      <w:bookmarkStart w:id="1" w:name="_Toc447633358"/>
      <w:bookmarkStart w:id="2" w:name="_Toc473825767"/>
      <w:bookmarkStart w:id="3" w:name="_Toc473895970"/>
      <w:bookmarkStart w:id="4" w:name="_Toc480205982"/>
      <w:bookmarkStart w:id="5" w:name="_Toc480206016"/>
      <w:bookmarkStart w:id="6" w:name="_Toc481047217"/>
      <w:bookmarkStart w:id="7" w:name="_Toc488750015"/>
      <w:r w:rsidRPr="005337A6">
        <w:rPr>
          <w:rFonts w:ascii="Verdana" w:hAnsi="Verdana" w:cs="Vijaya"/>
          <w:i w:val="0"/>
          <w:sz w:val="16"/>
          <w:szCs w:val="16"/>
        </w:rPr>
        <w:lastRenderedPageBreak/>
        <w:t xml:space="preserve">MOVILIZACIÓN Y DESMOVILIZACIÓN DE EQUIPO, MATERIAL, HERRAMIENTAS Y </w:t>
      </w:r>
      <w:bookmarkEnd w:id="1"/>
      <w:r w:rsidRPr="005337A6">
        <w:rPr>
          <w:rFonts w:ascii="Verdana" w:hAnsi="Verdana" w:cs="Vijaya"/>
          <w:i w:val="0"/>
          <w:sz w:val="16"/>
          <w:szCs w:val="16"/>
        </w:rPr>
        <w:t>PERSONAL</w:t>
      </w:r>
      <w:bookmarkEnd w:id="2"/>
      <w:bookmarkEnd w:id="3"/>
      <w:bookmarkEnd w:id="4"/>
      <w:bookmarkEnd w:id="5"/>
      <w:bookmarkEnd w:id="6"/>
      <w:bookmarkEnd w:id="7"/>
      <w:r w:rsidRPr="005337A6"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5337A6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bookmarkStart w:id="8" w:name="_Toc473895972"/>
      <w:r w:rsidRPr="005337A6">
        <w:rPr>
          <w:rFonts w:ascii="Verdana" w:hAnsi="Verdana"/>
          <w:sz w:val="16"/>
          <w:szCs w:val="16"/>
        </w:rPr>
        <w:t>GLOBAL</w:t>
      </w:r>
      <w:bookmarkEnd w:id="8"/>
    </w:p>
    <w:p w:rsidR="000A0805" w:rsidRPr="005337A6" w:rsidRDefault="000A0805" w:rsidP="000A0805">
      <w:pPr>
        <w:pStyle w:val="Ttulo2"/>
        <w:spacing w:before="0" w:after="0"/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>Este</w:t>
      </w:r>
      <w:r w:rsidRPr="005337A6">
        <w:rPr>
          <w:rFonts w:ascii="Verdana" w:eastAsia="Calibri" w:hAnsi="Verdana" w:cs="Vijaya"/>
          <w:sz w:val="16"/>
          <w:szCs w:val="16"/>
          <w:lang w:val="es-BO" w:eastAsia="en-US"/>
        </w:rPr>
        <w:t xml:space="preserve"> </w:t>
      </w: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>ítem comprende la movilización y desmovilización de equipo, material, herramientas y personal necesarios para la ejecución de cada uno de los ítems que comprende el proyecto.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 xml:space="preserve">El CONTRATISTA realizará los trabajos siguientes: transportar, descargar, proveer maquinarias, herramientas, materiales y personal necesarios para la ejecución de las obras. 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</w:t>
      </w:r>
      <w:r w:rsidRPr="000A0805">
        <w:rPr>
          <w:rFonts w:ascii="Verdana" w:hAnsi="Verdana"/>
          <w:i w:val="0"/>
          <w:sz w:val="16"/>
          <w:szCs w:val="16"/>
        </w:rPr>
        <w:t>, HERRAMIENTAS, EQUIPO Y PERSONAL</w:t>
      </w: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deberá proporcionar todos los materiales necesarios para realizar la movilización de su equipo, maquinaria y herramientas al sitio de la obra.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</w:t>
      </w:r>
      <w:r w:rsidRPr="000A0805">
        <w:rPr>
          <w:rFonts w:ascii="Verdana" w:hAnsi="Verdana"/>
          <w:i w:val="0"/>
          <w:sz w:val="16"/>
          <w:szCs w:val="16"/>
        </w:rPr>
        <w:t xml:space="preserve"> PARA LA EJECUCIÓN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deberá presentar al SUPERVISOR DE OBRA un plan de Movilización y Desmovilización que contemple lo siguiente: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Medio de Transporte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Tipo de carga a transportar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Inspección de equipos, herramientas y carga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Descripción de las rutas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Horarios de viaje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Cronogramas de trabajo.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será responsable de todas las actividades y consecuencias de las mismas.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 xml:space="preserve">El CONTRATISTA será responsable de programar sus movilizaciones de acuerdo con el cronograma de trabajo y órdenes del SUPERVISOR DE OBRA. No se reconocerán costos de movilizaciones y desmovilizaciones adicionales, ni costos de equipos y personal en Stand By, puesto que los mismos son incluidos dentro de los gastos generales que forman parte de los costos indirectos. </w:t>
      </w:r>
    </w:p>
    <w:p w:rsidR="000A0805" w:rsidRPr="005337A6" w:rsidRDefault="000A0805" w:rsidP="00655D7D">
      <w:pPr>
        <w:pStyle w:val="Prrafodelista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ES_tradnl"/>
        </w:rPr>
        <w:t>Cualquier incidente o accidente que pudiera resultar de la ejecución de este ítem será de entera responsabilidad del CONTRATISTA.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 xml:space="preserve">MEDICIÓN Y </w:t>
      </w:r>
      <w:r w:rsidRPr="000A0805">
        <w:rPr>
          <w:rFonts w:ascii="Verdana" w:hAnsi="Verdana"/>
          <w:i w:val="0"/>
          <w:sz w:val="16"/>
          <w:szCs w:val="16"/>
        </w:rPr>
        <w:t>FORMA DE PAGO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ítem de Movilización de Personal, Herramientas y Equipo será medido en forma global de acuerdo con los precios unitarios establecidos en el contrato. Dicho precio será compensación total por los materiales, mano de obra, herramientas, equipo y otros gastos que sean necesarios para una correcta ejecución del ítem.</w:t>
      </w:r>
    </w:p>
    <w:p w:rsidR="000A0805" w:rsidRPr="005337A6" w:rsidRDefault="000A0805" w:rsidP="00655D7D">
      <w:pPr>
        <w:pStyle w:val="PARRAFO"/>
        <w:spacing w:after="0" w:afterAutospacing="0" w:line="240" w:lineRule="auto"/>
        <w:rPr>
          <w:rFonts w:ascii="Verdana" w:hAnsi="Verdana"/>
          <w:b/>
          <w:sz w:val="16"/>
          <w:szCs w:val="16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pago del ítem dependerá del avance porcentual en relación con la ejecución del trabajo, debiendo dejar al menos un porcentaje mínimo de 20% para los trabajos de desmovilización a ser pagados en la planilla de cierre.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</w:rPr>
      </w:pPr>
      <w:r w:rsidRPr="005337A6">
        <w:rPr>
          <w:rFonts w:ascii="Verdana" w:hAnsi="Verdana" w:cs="Vijaya"/>
          <w:kern w:val="28"/>
          <w:sz w:val="16"/>
          <w:szCs w:val="16"/>
        </w:rPr>
        <w:t>El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A33F14" w:rsidRDefault="00A33F14">
      <w:pPr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5337A6" w:rsidRDefault="000A0805" w:rsidP="00655D7D">
      <w:pPr>
        <w:pStyle w:val="Ttulo2"/>
        <w:numPr>
          <w:ilvl w:val="0"/>
          <w:numId w:val="1"/>
        </w:numPr>
        <w:spacing w:before="0" w:after="0"/>
        <w:ind w:left="357" w:hanging="357"/>
        <w:rPr>
          <w:rFonts w:ascii="Verdana" w:hAnsi="Verdana" w:cs="Vijaya"/>
          <w:i w:val="0"/>
          <w:sz w:val="16"/>
          <w:szCs w:val="16"/>
        </w:rPr>
      </w:pPr>
      <w:bookmarkStart w:id="9" w:name="_Toc480205983"/>
      <w:bookmarkStart w:id="10" w:name="_Toc480206017"/>
      <w:bookmarkStart w:id="11" w:name="_Toc481047218"/>
      <w:bookmarkStart w:id="12" w:name="_Toc488750016"/>
      <w:r w:rsidRPr="005337A6">
        <w:rPr>
          <w:rFonts w:ascii="Verdana" w:hAnsi="Verdana" w:cs="Vijaya"/>
          <w:i w:val="0"/>
          <w:sz w:val="16"/>
          <w:szCs w:val="16"/>
        </w:rPr>
        <w:lastRenderedPageBreak/>
        <w:t>LIMPIEZA Y RETIRO DE ESCOMBROS</w:t>
      </w:r>
      <w:bookmarkEnd w:id="9"/>
      <w:bookmarkEnd w:id="10"/>
      <w:bookmarkEnd w:id="11"/>
      <w:bookmarkEnd w:id="12"/>
      <w:r w:rsidRPr="005337A6"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Pr="005337A6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5337A6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 w:rsidRPr="005337A6">
        <w:rPr>
          <w:rFonts w:ascii="Verdana" w:hAnsi="Verdana"/>
          <w:sz w:val="16"/>
          <w:szCs w:val="16"/>
        </w:rPr>
        <w:t>GLOBAL</w:t>
      </w:r>
    </w:p>
    <w:p w:rsidR="000A0805" w:rsidRPr="005337A6" w:rsidRDefault="000A0805" w:rsidP="00655D7D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comprende los trabajos necesarios para el carguío, retiro y traslado de todos los escombros resultantes de la obra, así como también, el deshierbe y nivelación del terreno, para realizar los trabajos de excavación en los diferentes tramos del Proyecto. La limpieza se la deberá hacer permanentemente con la finalidad de mantener la obra limpia y transitable. Los escombros deberán ser recogidos cada tramo, no dejando esta actividad postergada  hasta el final de la obra.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bookmarkStart w:id="13" w:name="_Toc314666973"/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Una vez terminada la obra de acuerdo con el contrato y previamente a la recepción provisional de la misma, el CONTRATISTA estará obligado a ejecutar, además de la limpieza periódica, la limpieza general del lugar.</w:t>
      </w:r>
      <w:bookmarkEnd w:id="13"/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 La limpieza periódica deberá realizarse en cada tramo concluido, dejando el área libre de materiales excedentes.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El CONTRATISTA proporcionará todos los materiales, herramientas y equipos necesarios (Volquetas, camionetas, etc.)  Para la ejecución de los trabajos, los mismos deberán ser aprobados por el SUPERVISOR DE OBRA al inicio de la actividad.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Al finalizar cada jornada de trabajo, el CONTRATISTA deberá limpiar y retirar todos los excedentes de materiales, escombros, basura, herramientas, equipo, piedras, etc. que se hayan generado como producto de los trabajos realizados, dichos excedentes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serán</w:t>
      </w: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 trasladados a botaderos municipales autorizados. Así mismo para evitar que el polvo que pudiera producirse como consecuencia de cualquiera de las actividades del proyecto pudiera afectar a las personas de la zona, el CONTRATISTA deberá prever dentro de su  propuesta el agua necesaria para humedecer el suelo constantemente dentro de la obra.</w:t>
      </w:r>
    </w:p>
    <w:p w:rsidR="000A0805" w:rsidRPr="005337A6" w:rsidRDefault="000A0805" w:rsidP="00655D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A objeto de efectuar una limpieza adecuada, se deberá previamente eliminar todas las aguas estancadas que se encuentren en las zanjas y las cunetas, debiendo ser conducidas las mismas convenientemente a fin de evitar molestias en el trabajo mismo y a las inmediaciones. 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El CONTRATISTA deberá cumplir con los componentes de desmovilización y limpieza final, donde el SUPERVISOR DE OBRA constatará que no haya residuos remanentes de las actividades realizadas durante la obra proveniente de equipos o plantas, que puedan causar efectos nocivos en los habitantes.</w:t>
      </w:r>
    </w:p>
    <w:p w:rsidR="000A0805" w:rsidRPr="005337A6" w:rsidRDefault="000A0805" w:rsidP="00655D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55D7D">
      <w:pPr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5337A6" w:rsidRDefault="000A0805" w:rsidP="00655D7D">
      <w:pPr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</w:t>
      </w:r>
      <w:r w:rsidRPr="005337A6">
        <w:rPr>
          <w:rFonts w:ascii="Verdana" w:hAnsi="Verdana"/>
          <w:sz w:val="16"/>
          <w:szCs w:val="16"/>
        </w:rPr>
        <w:t>FORMA DE PAGO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será medido en global y de acuerdo al avance que se tenga en obra.</w:t>
      </w:r>
    </w:p>
    <w:p w:rsidR="000A0805" w:rsidRPr="005337A6" w:rsidRDefault="000A0805" w:rsidP="00655D7D">
      <w:pPr>
        <w:pStyle w:val="PARRAFO"/>
        <w:spacing w:after="0" w:afterAutospacing="0" w:line="240" w:lineRule="auto"/>
        <w:rPr>
          <w:rFonts w:ascii="Verdana" w:hAnsi="Verdana"/>
          <w:b/>
          <w:sz w:val="16"/>
          <w:szCs w:val="16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será pagado en forma global el mismo será considerado como concluido una vez que se realice la entrega definitiva de la obra, entre tanto YPFB emitirá pagos parciales a requerimiento el CONTRATISTA los mismos se verán plasmados en cada planilla de pago por un monto equivalente al porcentaje de avance físico de la obra.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0A0805" w:rsidRDefault="000A0805">
      <w:pPr>
        <w:rPr>
          <w:rFonts w:ascii="Verdana" w:hAnsi="Verdana" w:cs="Calibri"/>
          <w:sz w:val="18"/>
          <w:szCs w:val="18"/>
        </w:rPr>
      </w:pPr>
    </w:p>
    <w:p w:rsidR="00A33F14" w:rsidRDefault="00550B8E">
      <w:pPr>
        <w:rPr>
          <w:rFonts w:ascii="Verdana" w:hAnsi="Verdana" w:cs="Calibri"/>
          <w:sz w:val="18"/>
          <w:szCs w:val="18"/>
        </w:rPr>
        <w:sectPr w:rsidR="00A33F14" w:rsidSect="005A3B41">
          <w:headerReference w:type="default" r:id="rId8"/>
          <w:footerReference w:type="default" r:id="rId9"/>
          <w:pgSz w:w="12242" w:h="15842" w:code="1"/>
          <w:pgMar w:top="1276" w:right="1418" w:bottom="992" w:left="1418" w:header="425" w:footer="119" w:gutter="0"/>
          <w:cols w:space="708"/>
          <w:docGrid w:linePitch="360"/>
        </w:sect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313"/>
        <w:rPr>
          <w:rFonts w:ascii="Verdana" w:hAnsi="Verdana" w:cs="Vijaya"/>
          <w:i w:val="0"/>
          <w:sz w:val="16"/>
          <w:szCs w:val="16"/>
        </w:rPr>
      </w:pPr>
      <w:bookmarkStart w:id="14" w:name="_Toc488750017"/>
      <w:r>
        <w:rPr>
          <w:rFonts w:ascii="Verdana" w:hAnsi="Verdana" w:cs="Vijaya"/>
          <w:i w:val="0"/>
          <w:sz w:val="16"/>
          <w:szCs w:val="16"/>
        </w:rPr>
        <w:lastRenderedPageBreak/>
        <w:t>REPARACION DE SOLDADURA EXOTERMICA TIPO CADWELL</w:t>
      </w:r>
      <w:bookmarkEnd w:id="14"/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bookmarkStart w:id="15" w:name="_Toc473895971"/>
      <w:r w:rsidRPr="00D1201A">
        <w:rPr>
          <w:rFonts w:ascii="Verdana" w:hAnsi="Verdana"/>
          <w:b/>
          <w:sz w:val="16"/>
          <w:szCs w:val="16"/>
        </w:rPr>
        <w:t>UNIDAD</w:t>
      </w:r>
      <w:bookmarkEnd w:id="15"/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Punto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16" w:name="_Toc444850843"/>
      <w:bookmarkStart w:id="17" w:name="_Toc447633360"/>
      <w:r w:rsidRPr="000A0805">
        <w:rPr>
          <w:rFonts w:ascii="Verdana" w:hAnsi="Verdana" w:cs="Vijaya"/>
          <w:i w:val="0"/>
          <w:sz w:val="16"/>
          <w:szCs w:val="16"/>
        </w:rPr>
        <w:t>DEFINICIÓN</w:t>
      </w:r>
      <w:bookmarkEnd w:id="16"/>
      <w:bookmarkEnd w:id="17"/>
    </w:p>
    <w:p w:rsidR="000A0805" w:rsidRDefault="000A0805" w:rsidP="002F3DF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la soldadura de un cable con el ducto, mediante la aplicación de la soldadura exotérmica.</w:t>
      </w:r>
    </w:p>
    <w:p w:rsidR="000A0805" w:rsidRPr="00134E1D" w:rsidRDefault="000A0805" w:rsidP="002F3DF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18" w:name="_Toc444850844"/>
      <w:bookmarkStart w:id="19" w:name="_Toc447633361"/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  <w:bookmarkEnd w:id="18"/>
      <w:bookmarkEnd w:id="19"/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un equipo para soldadura cadwell con sus respectivos moldes, equipo de medición de espesores ultrasónico y personal capacitado para la operación de los mismos.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20" w:name="_Toc444850845"/>
      <w:bookmarkStart w:id="21" w:name="_Toc447633362"/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  <w:bookmarkEnd w:id="20"/>
      <w:bookmarkEnd w:id="21"/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las soldaduras CADWELL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la medición de espesores del ducto donde se pretende soldar el cable, los resultados obtenidos se deberán analizar bajo los siguientes criterios: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numPr>
          <w:ilvl w:val="0"/>
          <w:numId w:val="29"/>
        </w:numPr>
        <w:ind w:left="426"/>
        <w:jc w:val="both"/>
        <w:rPr>
          <w:rFonts w:ascii="Verdana" w:hAnsi="Verdana" w:cs="Arial"/>
          <w:sz w:val="16"/>
          <w:szCs w:val="22"/>
        </w:rPr>
      </w:pPr>
      <w:r w:rsidRPr="002B4440">
        <w:rPr>
          <w:rFonts w:ascii="Verdana" w:hAnsi="Verdana" w:cs="Arial"/>
          <w:sz w:val="16"/>
          <w:szCs w:val="22"/>
        </w:rPr>
        <w:t xml:space="preserve">Si el espesor medido está dentro de norma (mayor al espesor mínimo remanente aceptable para las presiones de trabajo específica a esa locación), se puede usar soldadura exotérmica Cadweld CA–15 (de </w:t>
      </w:r>
      <w:smartTag w:uri="urn:schemas-microsoft-com:office:smarttags" w:element="metricconverter">
        <w:smartTagPr>
          <w:attr w:name="ProductID" w:val="15 gramos"/>
        </w:smartTagPr>
        <w:r w:rsidRPr="002B4440">
          <w:rPr>
            <w:rFonts w:ascii="Verdana" w:hAnsi="Verdana" w:cs="Arial"/>
            <w:sz w:val="16"/>
            <w:szCs w:val="22"/>
          </w:rPr>
          <w:t>15 gramos</w:t>
        </w:r>
      </w:smartTag>
      <w:r w:rsidRPr="002B4440">
        <w:rPr>
          <w:rFonts w:ascii="Verdana" w:hAnsi="Verdana" w:cs="Arial"/>
          <w:sz w:val="16"/>
          <w:szCs w:val="22"/>
        </w:rPr>
        <w:t xml:space="preserve">) </w:t>
      </w:r>
    </w:p>
    <w:p w:rsidR="000A0805" w:rsidRPr="002B4440" w:rsidRDefault="000A0805" w:rsidP="006F14AC">
      <w:pPr>
        <w:numPr>
          <w:ilvl w:val="0"/>
          <w:numId w:val="29"/>
        </w:numPr>
        <w:ind w:left="426"/>
        <w:jc w:val="both"/>
        <w:rPr>
          <w:rFonts w:ascii="Verdana" w:hAnsi="Verdana" w:cs="Arial"/>
          <w:sz w:val="16"/>
          <w:szCs w:val="22"/>
        </w:rPr>
      </w:pPr>
      <w:r w:rsidRPr="002B4440">
        <w:rPr>
          <w:rFonts w:ascii="Verdana" w:hAnsi="Verdana" w:cs="Arial"/>
          <w:sz w:val="16"/>
          <w:szCs w:val="22"/>
        </w:rPr>
        <w:t>En el caso de que el espesor medido este por debajo del mínimo aceptable, se deberá cambiar el lugar de la soldadura e informar inmediatamente</w:t>
      </w:r>
      <w:r w:rsidRPr="002B4440">
        <w:rPr>
          <w:rFonts w:ascii="Verdana" w:hAnsi="Verdana" w:cs="Vijaya"/>
          <w:bCs/>
          <w:iCs/>
          <w:sz w:val="10"/>
          <w:szCs w:val="18"/>
          <w:lang w:val="es-ES_tradnl"/>
        </w:rPr>
        <w:t xml:space="preserve"> 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al SUPERVISOR DE OBRA.</w:t>
      </w: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  <w:r>
        <w:rPr>
          <w:rFonts w:ascii="Verdana" w:hAnsi="Verdana" w:cs="Arial"/>
          <w:sz w:val="16"/>
          <w:szCs w:val="22"/>
        </w:rPr>
        <w:t>Para realizar la soldadura se deberá realizar una limpieza del área de soldadura y emplear el molde adecuado para realizar la misma.</w:t>
      </w: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  <w:r>
        <w:rPr>
          <w:rFonts w:ascii="Verdana" w:hAnsi="Verdana" w:cs="Arial"/>
          <w:sz w:val="16"/>
          <w:szCs w:val="22"/>
        </w:rPr>
        <w:t>Una vez realizada la soldadura se deberá revestir la misma con revestimiento epoxico.</w:t>
      </w:r>
    </w:p>
    <w:p w:rsidR="000A0805" w:rsidRPr="002B4440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22" w:name="_Toc473895973"/>
      <w:r w:rsidRPr="000A0805">
        <w:rPr>
          <w:rFonts w:ascii="Verdana" w:hAnsi="Verdana" w:cs="Vijaya"/>
          <w:i w:val="0"/>
          <w:sz w:val="16"/>
          <w:szCs w:val="16"/>
        </w:rPr>
        <w:t>MEDICIÓN</w:t>
      </w:r>
      <w:bookmarkEnd w:id="22"/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0A0805" w:rsidRPr="003335E0" w:rsidRDefault="000A0805" w:rsidP="00045295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por soldadura realizada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 xml:space="preserve">ios establecidos en el contrato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y</w:t>
      </w: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 será pagado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 xml:space="preserve">por soldadura exotérmica reparada, </w:t>
      </w:r>
      <w:r w:rsidRPr="003335E0">
        <w:rPr>
          <w:rFonts w:ascii="Verdana" w:hAnsi="Verdana" w:cs="Vijaya"/>
          <w:kern w:val="28"/>
          <w:sz w:val="16"/>
          <w:szCs w:val="18"/>
          <w:lang w:val="es-ES_tradnl"/>
        </w:rPr>
        <w:t>e</w:t>
      </w:r>
      <w:r w:rsidRPr="003335E0">
        <w:rPr>
          <w:rFonts w:ascii="Verdana" w:hAnsi="Verdana" w:cs="Vijaya"/>
          <w:kern w:val="28"/>
          <w:sz w:val="16"/>
          <w:szCs w:val="18"/>
        </w:rPr>
        <w:t>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B47032" w:rsidRDefault="00B47032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CE26D9" w:rsidRDefault="00CE26D9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DB1977" w:rsidRDefault="00DB1977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  <w:sectPr w:rsidR="00DB1977" w:rsidSect="005A3B41">
          <w:pgSz w:w="12242" w:h="15842" w:code="1"/>
          <w:pgMar w:top="1276" w:right="1418" w:bottom="992" w:left="1418" w:header="425" w:footer="119" w:gutter="0"/>
          <w:cols w:space="708"/>
          <w:docGrid w:linePitch="360"/>
        </w:sectPr>
      </w:pP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313"/>
        <w:rPr>
          <w:rFonts w:ascii="Verdana" w:hAnsi="Verdana" w:cs="Vijaya"/>
          <w:i w:val="0"/>
          <w:sz w:val="16"/>
          <w:szCs w:val="16"/>
        </w:rPr>
      </w:pPr>
      <w:bookmarkStart w:id="23" w:name="_Toc488750018"/>
      <w:r>
        <w:rPr>
          <w:rFonts w:ascii="Verdana" w:hAnsi="Verdana" w:cs="Vijaya"/>
          <w:i w:val="0"/>
          <w:sz w:val="16"/>
          <w:szCs w:val="16"/>
        </w:rPr>
        <w:lastRenderedPageBreak/>
        <w:t>CAMBIO DE TEST POINT TIPO A</w:t>
      </w:r>
      <w:bookmarkEnd w:id="23"/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Default="000A0805" w:rsidP="00C7654F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el cambio de las estructuras de los test points que se encuentran en mal estado.</w:t>
      </w:r>
    </w:p>
    <w:p w:rsidR="000A0805" w:rsidRPr="00134E1D" w:rsidRDefault="000A0805" w:rsidP="00C7654F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herramientas eléctricas y personal capacitado para la operación de los mismos.</w:t>
      </w:r>
    </w:p>
    <w:p w:rsidR="000A0805" w:rsidRPr="00180E50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el cambio de test points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0A0805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Provisión e instalación de test points tipo A (las dimensiones y config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uración se muestra en el anexo 3</w:t>
      </w: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Gráficos, el mismo deberá encontrarse pintada de color amarilla Caterpillar y viñeteada con las siguientes siglas: “YPFB”, “TP N°” ), para la instalación de la misma se deberá realizar 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la excavación de una zanja adecuada para poder enterrar la estructura 60 cm por debajo de nivel del suelo, se deberá considerar el corte y remoción de aceras de hormigón. </w:t>
      </w:r>
    </w:p>
    <w:p w:rsidR="000A0805" w:rsidRPr="005A7B0E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Rellenado y compactado de la zanja una vez instalado el test point, para lo cual se deberá utilizar la compactadora mecánica, así mismo se deberá realizar </w:t>
      </w:r>
      <w:r w:rsidRPr="005A7B0E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el vaciado de una zapata de hormigón de dosificación 1:3:5 de 40 cm a ancho, 40 cm de largo y 20 cm de alto. </w:t>
      </w:r>
    </w:p>
    <w:p w:rsidR="000A0805" w:rsidRPr="00570362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Recuperación y/o demolición de la estructura dañada.</w:t>
      </w:r>
    </w:p>
    <w:p w:rsidR="000A0805" w:rsidRPr="00570362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Conexión de los cables existentes al tablero de baquelita mediante terminales de cable tipo orejera y borne de conexión.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0A0805" w:rsidRPr="001E1CFC" w:rsidRDefault="000A0805" w:rsidP="00570362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y pagado por pieza cambiada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</w:p>
    <w:p w:rsidR="000A0805" w:rsidRPr="003335E0" w:rsidRDefault="000A0805" w:rsidP="00045295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>
        <w:rPr>
          <w:rFonts w:ascii="Verdana" w:hAnsi="Verdana" w:cs="Vijaya"/>
          <w:kern w:val="28"/>
          <w:sz w:val="16"/>
          <w:szCs w:val="18"/>
        </w:rPr>
        <w:t>El mismo será</w:t>
      </w:r>
      <w:r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procedimiento.</w:t>
      </w:r>
    </w:p>
    <w:p w:rsidR="00272F6C" w:rsidRDefault="000A0805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p w:rsidR="00272F6C" w:rsidRDefault="00272F6C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</w:pPr>
      <w:r>
        <w:rPr>
          <w:rFonts w:ascii="Verdana" w:hAnsi="Verdana" w:cs="Calibri"/>
          <w:b/>
          <w:bCs/>
          <w:sz w:val="16"/>
          <w:szCs w:val="16"/>
          <w:lang w:eastAsia="es-BO"/>
        </w:rPr>
        <w:br w:type="page"/>
      </w: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284"/>
        <w:rPr>
          <w:rFonts w:ascii="Verdana" w:hAnsi="Verdana" w:cs="Vijaya"/>
          <w:i w:val="0"/>
          <w:sz w:val="16"/>
          <w:szCs w:val="16"/>
        </w:rPr>
      </w:pPr>
      <w:bookmarkStart w:id="24" w:name="_Toc488750019"/>
      <w:r>
        <w:rPr>
          <w:rFonts w:ascii="Verdana" w:hAnsi="Verdana" w:cs="Vijaya"/>
          <w:i w:val="0"/>
          <w:sz w:val="16"/>
          <w:szCs w:val="16"/>
        </w:rPr>
        <w:lastRenderedPageBreak/>
        <w:t>RECONSTRUCCION DE TEST POINT TIPO A</w:t>
      </w:r>
      <w:bookmarkEnd w:id="24"/>
      <w:r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Default="000A0805" w:rsidP="0004529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reconstrucción a los test points tipo A que se encuentren en mal estado.</w:t>
      </w:r>
    </w:p>
    <w:p w:rsidR="000A0805" w:rsidRPr="00134E1D" w:rsidRDefault="000A0805" w:rsidP="0004529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herramientas para el pintado y revocado de estructuras de hormigón y personal capacitado para la operación de los mismos.</w:t>
      </w:r>
    </w:p>
    <w:p w:rsidR="000A0805" w:rsidRPr="00180E50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la reconstrucción de test points tipo A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Limpieza y sellado de las fisuras de las estructuras de los test points tipo A, para lo cual el contratista deberá emplear una masilla sellante.</w:t>
      </w:r>
    </w:p>
    <w:p w:rsidR="000A0805" w:rsidRDefault="00FA1033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P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intado de la estación de prueba (tipo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A)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>con pintura acrílica para la intemperie color amarillo Caterpillar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, la contratista deberá presentar al supervisor la ficha técnica de la pintura que se pretende aplicar para su aprobación, así mismo se deberá realizar el viñete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>ado de la respectiva codificación y progresiva.</w:t>
      </w: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Vaciado de una zapata de concreto de 40 cm de largo, 40 cm de alto y 20 cm de alto, en aquellos test points que se encuentran inestables.</w:t>
      </w: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Reposición y/o cambio de tapas de aluminio inexistentes o en mal estado (las dimensiones y el modelo de las mismas se muestra en el anexo 3 Gráficos) </w:t>
      </w:r>
    </w:p>
    <w:p w:rsidR="000A0805" w:rsidRPr="00570362" w:rsidRDefault="000A0805" w:rsidP="00570362">
      <w:pPr>
        <w:pStyle w:val="Prrafodelista"/>
        <w:autoSpaceDE w:val="0"/>
        <w:autoSpaceDN w:val="0"/>
        <w:adjustRightInd w:val="0"/>
        <w:ind w:left="72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FA1033" w:rsidRPr="00134E1D" w:rsidRDefault="00FA1033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FA1033" w:rsidRDefault="000A0805" w:rsidP="006F14AC">
      <w:pPr>
        <w:jc w:val="both"/>
        <w:rPr>
          <w:rFonts w:ascii="Verdana" w:hAnsi="Verdana" w:cs="Vijaya"/>
          <w:sz w:val="16"/>
          <w:szCs w:val="18"/>
          <w:lang w:val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 w:rsidR="00FA1033">
        <w:rPr>
          <w:rFonts w:ascii="Verdana" w:hAnsi="Verdana" w:cs="Vijaya"/>
          <w:kern w:val="28"/>
          <w:sz w:val="16"/>
          <w:szCs w:val="16"/>
          <w:lang w:val="es-ES_tradnl"/>
        </w:rPr>
        <w:t xml:space="preserve">y pagado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por pieza mantenida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  <w:r w:rsidR="00FA1033">
        <w:rPr>
          <w:rFonts w:ascii="Verdana" w:hAnsi="Verdana" w:cs="Vijaya"/>
          <w:kern w:val="28"/>
          <w:sz w:val="16"/>
          <w:szCs w:val="18"/>
        </w:rPr>
        <w:t>El mismo será</w:t>
      </w:r>
      <w:r w:rsidR="00FA1033"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</w:t>
      </w:r>
      <w:r w:rsidR="00FA1033">
        <w:rPr>
          <w:rFonts w:ascii="Verdana" w:hAnsi="Verdana" w:cs="Vijaya"/>
          <w:sz w:val="16"/>
          <w:szCs w:val="18"/>
          <w:lang w:val="es-BO"/>
        </w:rPr>
        <w:t>.</w:t>
      </w:r>
    </w:p>
    <w:p w:rsidR="000A0805" w:rsidRPr="001E1CFC" w:rsidRDefault="000A0805" w:rsidP="006F14AC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p w:rsidR="000A0805" w:rsidRPr="003335E0" w:rsidRDefault="000A0805" w:rsidP="006F14AC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411D5" w:rsidRDefault="00F411D5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411D5" w:rsidRDefault="00F411D5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</w:pPr>
      <w:r>
        <w:rPr>
          <w:rFonts w:ascii="Verdana" w:hAnsi="Verdana" w:cs="Calibri"/>
          <w:b/>
          <w:bCs/>
          <w:sz w:val="16"/>
          <w:szCs w:val="16"/>
          <w:lang w:eastAsia="es-BO"/>
        </w:rPr>
        <w:br w:type="page"/>
      </w:r>
    </w:p>
    <w:p w:rsidR="00FA1033" w:rsidRPr="001E1CFC" w:rsidRDefault="00FA1033" w:rsidP="00A33F14">
      <w:pPr>
        <w:pStyle w:val="Ttulo2"/>
        <w:numPr>
          <w:ilvl w:val="0"/>
          <w:numId w:val="1"/>
        </w:numPr>
        <w:spacing w:before="0" w:after="0"/>
        <w:ind w:left="313" w:hanging="284"/>
        <w:rPr>
          <w:rFonts w:ascii="Verdana" w:hAnsi="Verdana" w:cs="Vijaya"/>
          <w:i w:val="0"/>
          <w:sz w:val="16"/>
          <w:szCs w:val="16"/>
        </w:rPr>
      </w:pPr>
      <w:bookmarkStart w:id="25" w:name="_Toc488750020"/>
      <w:r>
        <w:rPr>
          <w:rFonts w:ascii="Verdana" w:hAnsi="Verdana" w:cs="Vijaya"/>
          <w:i w:val="0"/>
          <w:sz w:val="16"/>
          <w:szCs w:val="16"/>
        </w:rPr>
        <w:lastRenderedPageBreak/>
        <w:t>CAMBIO DE BAQUELITA</w:t>
      </w:r>
      <w:bookmarkEnd w:id="25"/>
    </w:p>
    <w:p w:rsidR="00FA1033" w:rsidRPr="001E1CFC" w:rsidRDefault="00FA1033" w:rsidP="00FA1033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FA1033" w:rsidRPr="001E1CFC" w:rsidRDefault="00FA1033" w:rsidP="006F14AC">
      <w:pPr>
        <w:rPr>
          <w:rFonts w:ascii="Verdana" w:hAnsi="Verdana"/>
          <w:sz w:val="16"/>
          <w:szCs w:val="16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DEFINICIÓN</w:t>
      </w:r>
    </w:p>
    <w:p w:rsidR="00FA1033" w:rsidRDefault="00FA1033" w:rsidP="00401E80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el cambio y/o instalación de los tableros de baquelita, así como los accesorios que los componen.</w:t>
      </w:r>
    </w:p>
    <w:p w:rsidR="00FA1033" w:rsidRPr="00134E1D" w:rsidRDefault="00FA1033" w:rsidP="00401E80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FA1033" w:rsidRDefault="00FA1033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ítem.</w:t>
      </w:r>
    </w:p>
    <w:p w:rsidR="00FA1033" w:rsidRPr="00180E50" w:rsidRDefault="00FA1033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FA1033" w:rsidRPr="00003001" w:rsidRDefault="00FA1033" w:rsidP="00570362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el cambio de la baquelita del test point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Provisión e instalación de los tableros de baquelita en las cajas de aluminio de los test points, así mismo se deberá cambiar y/o reponer los bornes y terminales de cables inexistentes o que se encuentren en mal estado.</w:t>
      </w:r>
      <w:r w:rsidRPr="00401E80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</w:t>
      </w:r>
    </w:p>
    <w:p w:rsidR="00FA1033" w:rsidRPr="00401E80" w:rsidRDefault="00FA1033" w:rsidP="00A33F14">
      <w:pPr>
        <w:pStyle w:val="Prrafodelista"/>
        <w:autoSpaceDE w:val="0"/>
        <w:autoSpaceDN w:val="0"/>
        <w:adjustRightInd w:val="0"/>
        <w:ind w:left="72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FA1033" w:rsidRPr="00134E1D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FA1033" w:rsidRPr="00134E1D" w:rsidRDefault="00FA1033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FA1033" w:rsidRDefault="00FA1033" w:rsidP="009A1A58">
      <w:pPr>
        <w:jc w:val="both"/>
        <w:rPr>
          <w:rFonts w:ascii="Verdana" w:hAnsi="Verdana" w:cs="Vijaya"/>
          <w:sz w:val="16"/>
          <w:szCs w:val="18"/>
          <w:lang w:val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El ítem será medido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 xml:space="preserve"> y pagado por pieza cambiada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  <w:r>
        <w:rPr>
          <w:rFonts w:ascii="Verdana" w:hAnsi="Verdana" w:cs="Vijaya"/>
          <w:kern w:val="28"/>
          <w:sz w:val="16"/>
          <w:szCs w:val="18"/>
        </w:rPr>
        <w:t>El mismo será</w:t>
      </w:r>
      <w:r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</w:t>
      </w:r>
    </w:p>
    <w:p w:rsidR="00FA1033" w:rsidRPr="001E1CFC" w:rsidRDefault="00FA1033" w:rsidP="009A1A58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>
        <w:rPr>
          <w:rFonts w:ascii="Verdana" w:hAnsi="Verdana" w:cs="Vijaya"/>
          <w:kern w:val="28"/>
          <w:sz w:val="16"/>
          <w:szCs w:val="16"/>
          <w:lang w:val="es-ES_tradnl"/>
        </w:rPr>
        <w:t>.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sectPr w:rsidR="00FA1033" w:rsidRPr="001E1CFC" w:rsidSect="005A3B41">
      <w:pgSz w:w="12242" w:h="15842" w:code="1"/>
      <w:pgMar w:top="1276" w:right="1418" w:bottom="992" w:left="1418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9F" w:rsidRDefault="009E119F">
      <w:r>
        <w:separator/>
      </w:r>
    </w:p>
  </w:endnote>
  <w:endnote w:type="continuationSeparator" w:id="0">
    <w:p w:rsidR="009E119F" w:rsidRDefault="009E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32"/>
      <w:gridCol w:w="3133"/>
      <w:gridCol w:w="3131"/>
    </w:tblGrid>
    <w:tr w:rsidR="00DB1977" w:rsidRPr="009A4B1A" w:rsidTr="00FA1033">
      <w:trPr>
        <w:trHeight w:val="56"/>
        <w:jc w:val="center"/>
      </w:trPr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B1977" w:rsidRPr="009A4B1A" w:rsidTr="00FA1033">
      <w:trPr>
        <w:trHeight w:val="86"/>
        <w:jc w:val="center"/>
      </w:trPr>
      <w:tc>
        <w:tcPr>
          <w:tcW w:w="1667" w:type="pct"/>
        </w:tcPr>
        <w:p w:rsidR="00DB1977" w:rsidRDefault="00DB1977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FA1033" w:rsidRPr="009A4B1A" w:rsidRDefault="00FA1033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DB1977" w:rsidRPr="009A4B1A" w:rsidRDefault="00DB1977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667" w:type="pct"/>
        </w:tcPr>
        <w:p w:rsidR="00DB1977" w:rsidRPr="009A4B1A" w:rsidRDefault="00DB1977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67" w:type="pct"/>
        </w:tcPr>
        <w:p w:rsidR="00DB1977" w:rsidRPr="009A4B1A" w:rsidRDefault="00DB1977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B1977" w:rsidRPr="009A4B1A" w:rsidTr="00FA1033">
      <w:trPr>
        <w:trHeight w:val="86"/>
        <w:jc w:val="center"/>
      </w:trPr>
      <w:tc>
        <w:tcPr>
          <w:tcW w:w="1667" w:type="pct"/>
        </w:tcPr>
        <w:p w:rsidR="00DB1977" w:rsidRDefault="00DB1977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Erick Royer Ponce Pozo</w:t>
          </w:r>
        </w:p>
        <w:p w:rsidR="00DB1977" w:rsidRPr="00A069DE" w:rsidRDefault="00DB1977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TECNICO OPERATIVO DE MANTENIMIENTO DE SISTEMAS DE PROTECCION CATODICA</w:t>
          </w:r>
        </w:p>
      </w:tc>
      <w:tc>
        <w:tcPr>
          <w:tcW w:w="1667" w:type="pct"/>
          <w:vAlign w:val="center"/>
        </w:tcPr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67" w:type="pct"/>
          <w:vAlign w:val="center"/>
        </w:tcPr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</w:t>
          </w: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 DE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 OPERACIÓN Y MANTENIMIENTO</w:t>
          </w:r>
        </w:p>
      </w:tc>
    </w:tr>
  </w:tbl>
  <w:p w:rsidR="00DB1977" w:rsidRDefault="00DB1977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9F" w:rsidRDefault="009E119F">
      <w:r>
        <w:separator/>
      </w:r>
    </w:p>
  </w:footnote>
  <w:footnote w:type="continuationSeparator" w:id="0">
    <w:p w:rsidR="009E119F" w:rsidRDefault="009E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5"/>
      <w:gridCol w:w="5237"/>
      <w:gridCol w:w="2054"/>
    </w:tblGrid>
    <w:tr w:rsidR="00DB1977" w:rsidRPr="00AD0053" w:rsidTr="00B47032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DB1977" w:rsidRPr="00AD0053" w:rsidRDefault="00DB1977" w:rsidP="008A15F3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 w:rsidRPr="00AD0053"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  <w:drawing>
              <wp:anchor distT="0" distB="0" distL="114300" distR="114300" simplePos="0" relativeHeight="251657728" behindDoc="0" locked="0" layoutInCell="1" allowOverlap="1" wp14:anchorId="01334695" wp14:editId="27276D5D">
                <wp:simplePos x="0" y="0"/>
                <wp:positionH relativeFrom="column">
                  <wp:posOffset>127635</wp:posOffset>
                </wp:positionH>
                <wp:positionV relativeFrom="paragraph">
                  <wp:posOffset>59690</wp:posOffset>
                </wp:positionV>
                <wp:extent cx="860425" cy="423545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DB1977" w:rsidRDefault="00DB1977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DB1977" w:rsidRPr="00EE2245" w:rsidRDefault="00DB1977" w:rsidP="00315109">
          <w:pPr>
            <w:jc w:val="center"/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 xml:space="preserve">OBRAS </w:t>
          </w:r>
          <w:r w:rsidR="00315109"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MECANICAS Y ELECTRICAS</w:t>
          </w:r>
        </w:p>
      </w:tc>
      <w:tc>
        <w:tcPr>
          <w:tcW w:w="1093" w:type="pct"/>
          <w:vAlign w:val="center"/>
        </w:tcPr>
        <w:p w:rsidR="00DB1977" w:rsidRPr="000A0805" w:rsidRDefault="000A0805" w:rsidP="000A0805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>
            <w:rPr>
              <w:rFonts w:ascii="Verdana" w:hAnsi="Verdana" w:cs="Calibri"/>
              <w:b/>
              <w:sz w:val="18"/>
              <w:szCs w:val="18"/>
            </w:rPr>
            <w:t>ANEXO 1</w:t>
          </w:r>
        </w:p>
      </w:tc>
    </w:tr>
    <w:tr w:rsidR="00DB1977" w:rsidRPr="00AD0053" w:rsidTr="00B47032">
      <w:trPr>
        <w:trHeight w:val="523"/>
        <w:jc w:val="center"/>
      </w:trPr>
      <w:tc>
        <w:tcPr>
          <w:tcW w:w="1120" w:type="pct"/>
          <w:vMerge/>
          <w:vAlign w:val="center"/>
        </w:tcPr>
        <w:p w:rsidR="00DB1977" w:rsidRPr="00AD0053" w:rsidRDefault="00DB1977" w:rsidP="008A15F3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DB1977" w:rsidRPr="007E1D97" w:rsidRDefault="00DB1977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DB1977" w:rsidRPr="00E76369" w:rsidRDefault="00DB1977" w:rsidP="008A15F3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DB1977" w:rsidRPr="00E76369" w:rsidRDefault="00DB1977" w:rsidP="008A15F3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90292D"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90292D">
            <w:rPr>
              <w:rStyle w:val="Nmerodepgina"/>
              <w:rFonts w:ascii="Verdana" w:hAnsi="Verdana" w:cs="Vijaya"/>
              <w:noProof/>
              <w:sz w:val="16"/>
              <w:szCs w:val="22"/>
            </w:rPr>
            <w:t>7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DB1977" w:rsidRDefault="00DB19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308D"/>
    <w:multiLevelType w:val="hybridMultilevel"/>
    <w:tmpl w:val="9FCE4D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F82D9C"/>
    <w:multiLevelType w:val="hybridMultilevel"/>
    <w:tmpl w:val="E19820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3CE4"/>
    <w:multiLevelType w:val="hybridMultilevel"/>
    <w:tmpl w:val="177C6514"/>
    <w:lvl w:ilvl="0" w:tplc="7F7EA07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2E18CF"/>
    <w:multiLevelType w:val="hybridMultilevel"/>
    <w:tmpl w:val="61626F9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B49F9"/>
    <w:multiLevelType w:val="hybridMultilevel"/>
    <w:tmpl w:val="244285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35994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460B2"/>
    <w:multiLevelType w:val="hybridMultilevel"/>
    <w:tmpl w:val="AEB000F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9DE6A2F"/>
    <w:multiLevelType w:val="hybridMultilevel"/>
    <w:tmpl w:val="A0347FD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0E3524"/>
    <w:multiLevelType w:val="hybridMultilevel"/>
    <w:tmpl w:val="CD4A39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A22F31"/>
    <w:multiLevelType w:val="hybridMultilevel"/>
    <w:tmpl w:val="2E8ACCAA"/>
    <w:lvl w:ilvl="0" w:tplc="47A04EC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28">
    <w:nsid w:val="795200A5"/>
    <w:multiLevelType w:val="hybridMultilevel"/>
    <w:tmpl w:val="AC70F90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D2A0269"/>
    <w:multiLevelType w:val="hybridMultilevel"/>
    <w:tmpl w:val="4BAED2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7"/>
  </w:num>
  <w:num w:numId="5">
    <w:abstractNumId w:val="2"/>
  </w:num>
  <w:num w:numId="6">
    <w:abstractNumId w:val="19"/>
  </w:num>
  <w:num w:numId="7">
    <w:abstractNumId w:val="13"/>
  </w:num>
  <w:num w:numId="8">
    <w:abstractNumId w:val="9"/>
  </w:num>
  <w:num w:numId="9">
    <w:abstractNumId w:val="26"/>
  </w:num>
  <w:num w:numId="10">
    <w:abstractNumId w:val="1"/>
  </w:num>
  <w:num w:numId="11">
    <w:abstractNumId w:val="23"/>
  </w:num>
  <w:num w:numId="12">
    <w:abstractNumId w:val="21"/>
  </w:num>
  <w:num w:numId="13">
    <w:abstractNumId w:val="15"/>
  </w:num>
  <w:num w:numId="14">
    <w:abstractNumId w:val="7"/>
  </w:num>
  <w:num w:numId="15">
    <w:abstractNumId w:val="11"/>
  </w:num>
  <w:num w:numId="16">
    <w:abstractNumId w:val="25"/>
  </w:num>
  <w:num w:numId="17">
    <w:abstractNumId w:val="29"/>
  </w:num>
  <w:num w:numId="18">
    <w:abstractNumId w:val="22"/>
  </w:num>
  <w:num w:numId="19">
    <w:abstractNumId w:val="3"/>
  </w:num>
  <w:num w:numId="20">
    <w:abstractNumId w:val="20"/>
  </w:num>
  <w:num w:numId="21">
    <w:abstractNumId w:val="18"/>
  </w:num>
  <w:num w:numId="22">
    <w:abstractNumId w:val="4"/>
  </w:num>
  <w:num w:numId="23">
    <w:abstractNumId w:val="0"/>
  </w:num>
  <w:num w:numId="24">
    <w:abstractNumId w:val="30"/>
  </w:num>
  <w:num w:numId="25">
    <w:abstractNumId w:val="10"/>
  </w:num>
  <w:num w:numId="26">
    <w:abstractNumId w:val="25"/>
  </w:num>
  <w:num w:numId="27">
    <w:abstractNumId w:val="24"/>
  </w:num>
  <w:num w:numId="28">
    <w:abstractNumId w:val="8"/>
  </w:num>
  <w:num w:numId="29">
    <w:abstractNumId w:val="6"/>
  </w:num>
  <w:num w:numId="30">
    <w:abstractNumId w:val="14"/>
  </w:num>
  <w:num w:numId="31">
    <w:abstractNumId w:val="16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001"/>
    <w:rsid w:val="00003342"/>
    <w:rsid w:val="00004615"/>
    <w:rsid w:val="00005730"/>
    <w:rsid w:val="00005C78"/>
    <w:rsid w:val="00005EFF"/>
    <w:rsid w:val="00006534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2D25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295"/>
    <w:rsid w:val="00045955"/>
    <w:rsid w:val="0004683D"/>
    <w:rsid w:val="00050E10"/>
    <w:rsid w:val="0005276A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D5B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805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3EC5"/>
    <w:rsid w:val="000E402E"/>
    <w:rsid w:val="000E4B4C"/>
    <w:rsid w:val="000E4CC1"/>
    <w:rsid w:val="000E5C1D"/>
    <w:rsid w:val="000E5DCE"/>
    <w:rsid w:val="000E63B6"/>
    <w:rsid w:val="000E65A7"/>
    <w:rsid w:val="000E6E1D"/>
    <w:rsid w:val="000E7047"/>
    <w:rsid w:val="000E7C81"/>
    <w:rsid w:val="000F3BB7"/>
    <w:rsid w:val="000F5BE9"/>
    <w:rsid w:val="000F6127"/>
    <w:rsid w:val="000F6CE3"/>
    <w:rsid w:val="000F74D6"/>
    <w:rsid w:val="001010C5"/>
    <w:rsid w:val="0010168E"/>
    <w:rsid w:val="00105937"/>
    <w:rsid w:val="00107110"/>
    <w:rsid w:val="00107547"/>
    <w:rsid w:val="00110A6B"/>
    <w:rsid w:val="00110FB3"/>
    <w:rsid w:val="0011105D"/>
    <w:rsid w:val="001118D4"/>
    <w:rsid w:val="00111947"/>
    <w:rsid w:val="00113A9C"/>
    <w:rsid w:val="00114EF1"/>
    <w:rsid w:val="001155D6"/>
    <w:rsid w:val="00115B53"/>
    <w:rsid w:val="001161DE"/>
    <w:rsid w:val="001167E3"/>
    <w:rsid w:val="001175A4"/>
    <w:rsid w:val="0011791F"/>
    <w:rsid w:val="00120E07"/>
    <w:rsid w:val="00120F82"/>
    <w:rsid w:val="00121663"/>
    <w:rsid w:val="00121986"/>
    <w:rsid w:val="0012451F"/>
    <w:rsid w:val="001245C1"/>
    <w:rsid w:val="00124B61"/>
    <w:rsid w:val="00124F8E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1A1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0E50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1BA2"/>
    <w:rsid w:val="001B61BB"/>
    <w:rsid w:val="001B6606"/>
    <w:rsid w:val="001B7285"/>
    <w:rsid w:val="001B7EB0"/>
    <w:rsid w:val="001C161A"/>
    <w:rsid w:val="001C166D"/>
    <w:rsid w:val="001C2107"/>
    <w:rsid w:val="001C3C63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7E7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3ECB"/>
    <w:rsid w:val="0025459A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261"/>
    <w:rsid w:val="002677ED"/>
    <w:rsid w:val="00267904"/>
    <w:rsid w:val="00270929"/>
    <w:rsid w:val="0027110E"/>
    <w:rsid w:val="00272F6C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440"/>
    <w:rsid w:val="002B48D1"/>
    <w:rsid w:val="002B6B1A"/>
    <w:rsid w:val="002B7701"/>
    <w:rsid w:val="002B782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DF5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109"/>
    <w:rsid w:val="00315209"/>
    <w:rsid w:val="003167EE"/>
    <w:rsid w:val="00316FA2"/>
    <w:rsid w:val="00317112"/>
    <w:rsid w:val="00320B47"/>
    <w:rsid w:val="003216D0"/>
    <w:rsid w:val="0032238A"/>
    <w:rsid w:val="003229EF"/>
    <w:rsid w:val="0032310A"/>
    <w:rsid w:val="00323421"/>
    <w:rsid w:val="00323F2A"/>
    <w:rsid w:val="003242AA"/>
    <w:rsid w:val="00325605"/>
    <w:rsid w:val="00326293"/>
    <w:rsid w:val="00326B39"/>
    <w:rsid w:val="00326DD9"/>
    <w:rsid w:val="0032765B"/>
    <w:rsid w:val="00330B63"/>
    <w:rsid w:val="003314C8"/>
    <w:rsid w:val="00331C2C"/>
    <w:rsid w:val="00332EB4"/>
    <w:rsid w:val="003335E0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2578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76918"/>
    <w:rsid w:val="00380425"/>
    <w:rsid w:val="0038200D"/>
    <w:rsid w:val="00384917"/>
    <w:rsid w:val="00384C41"/>
    <w:rsid w:val="003851D0"/>
    <w:rsid w:val="0038590B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14C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327F"/>
    <w:rsid w:val="003E403F"/>
    <w:rsid w:val="003E55E4"/>
    <w:rsid w:val="003E59AD"/>
    <w:rsid w:val="003E6B58"/>
    <w:rsid w:val="003E7978"/>
    <w:rsid w:val="003E79D0"/>
    <w:rsid w:val="003F21EF"/>
    <w:rsid w:val="003F2292"/>
    <w:rsid w:val="003F32E5"/>
    <w:rsid w:val="003F4742"/>
    <w:rsid w:val="003F6342"/>
    <w:rsid w:val="0040077A"/>
    <w:rsid w:val="00401E80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189F"/>
    <w:rsid w:val="004233C7"/>
    <w:rsid w:val="00424CBA"/>
    <w:rsid w:val="00426A63"/>
    <w:rsid w:val="0042762E"/>
    <w:rsid w:val="00431BD0"/>
    <w:rsid w:val="00433852"/>
    <w:rsid w:val="0043439F"/>
    <w:rsid w:val="004350FC"/>
    <w:rsid w:val="0043531D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4B47"/>
    <w:rsid w:val="00485537"/>
    <w:rsid w:val="00487106"/>
    <w:rsid w:val="00490427"/>
    <w:rsid w:val="00490C60"/>
    <w:rsid w:val="00491E64"/>
    <w:rsid w:val="00492CEA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278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0B8E"/>
    <w:rsid w:val="00550DDF"/>
    <w:rsid w:val="00551A26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1371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0362"/>
    <w:rsid w:val="005713B7"/>
    <w:rsid w:val="00571E9E"/>
    <w:rsid w:val="005731A6"/>
    <w:rsid w:val="00573256"/>
    <w:rsid w:val="00573FA0"/>
    <w:rsid w:val="00576BF3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A7B0E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3F0"/>
    <w:rsid w:val="006129F9"/>
    <w:rsid w:val="00612D7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2859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1DEA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304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5F5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4322"/>
    <w:rsid w:val="006E5E3A"/>
    <w:rsid w:val="006E7EAC"/>
    <w:rsid w:val="006F0A52"/>
    <w:rsid w:val="006F14AC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2B6"/>
    <w:rsid w:val="00742535"/>
    <w:rsid w:val="00743EA8"/>
    <w:rsid w:val="00744189"/>
    <w:rsid w:val="0074453F"/>
    <w:rsid w:val="007453BD"/>
    <w:rsid w:val="007466B2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39AD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6EB2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C06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1DA1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BC5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159E"/>
    <w:rsid w:val="0089286C"/>
    <w:rsid w:val="00893754"/>
    <w:rsid w:val="00894234"/>
    <w:rsid w:val="0089584A"/>
    <w:rsid w:val="008958E6"/>
    <w:rsid w:val="00896800"/>
    <w:rsid w:val="0089685B"/>
    <w:rsid w:val="00897626"/>
    <w:rsid w:val="008A083C"/>
    <w:rsid w:val="008A10DE"/>
    <w:rsid w:val="008A15F3"/>
    <w:rsid w:val="008A205E"/>
    <w:rsid w:val="008A2CE8"/>
    <w:rsid w:val="008A3667"/>
    <w:rsid w:val="008A482C"/>
    <w:rsid w:val="008A5D54"/>
    <w:rsid w:val="008A65AF"/>
    <w:rsid w:val="008A6DA6"/>
    <w:rsid w:val="008B178B"/>
    <w:rsid w:val="008B25CE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BA9"/>
    <w:rsid w:val="008E3D6B"/>
    <w:rsid w:val="008E4644"/>
    <w:rsid w:val="008E46A3"/>
    <w:rsid w:val="008E4DB2"/>
    <w:rsid w:val="008E52CF"/>
    <w:rsid w:val="008E6568"/>
    <w:rsid w:val="008E66B7"/>
    <w:rsid w:val="008E6713"/>
    <w:rsid w:val="008E780A"/>
    <w:rsid w:val="008F0D1B"/>
    <w:rsid w:val="008F0E7C"/>
    <w:rsid w:val="008F2704"/>
    <w:rsid w:val="008F2A63"/>
    <w:rsid w:val="008F53A7"/>
    <w:rsid w:val="008F6D72"/>
    <w:rsid w:val="009012C2"/>
    <w:rsid w:val="009022E8"/>
    <w:rsid w:val="0090292D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52D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1A58"/>
    <w:rsid w:val="009A2732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6822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19F"/>
    <w:rsid w:val="009E1D84"/>
    <w:rsid w:val="009E2057"/>
    <w:rsid w:val="009E4614"/>
    <w:rsid w:val="009E4983"/>
    <w:rsid w:val="009E590B"/>
    <w:rsid w:val="009E673C"/>
    <w:rsid w:val="009E68AC"/>
    <w:rsid w:val="009E73AB"/>
    <w:rsid w:val="009F1F44"/>
    <w:rsid w:val="009F2F33"/>
    <w:rsid w:val="009F30D0"/>
    <w:rsid w:val="009F3733"/>
    <w:rsid w:val="009F414B"/>
    <w:rsid w:val="009F5803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9DE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3F14"/>
    <w:rsid w:val="00A341DA"/>
    <w:rsid w:val="00A35666"/>
    <w:rsid w:val="00A35D4E"/>
    <w:rsid w:val="00A36123"/>
    <w:rsid w:val="00A3729C"/>
    <w:rsid w:val="00A378C9"/>
    <w:rsid w:val="00A37B54"/>
    <w:rsid w:val="00A37CAC"/>
    <w:rsid w:val="00A40870"/>
    <w:rsid w:val="00A417BC"/>
    <w:rsid w:val="00A41856"/>
    <w:rsid w:val="00A41C7F"/>
    <w:rsid w:val="00A42AD5"/>
    <w:rsid w:val="00A43DE8"/>
    <w:rsid w:val="00A446D6"/>
    <w:rsid w:val="00A44B1B"/>
    <w:rsid w:val="00A44FA0"/>
    <w:rsid w:val="00A50391"/>
    <w:rsid w:val="00A521A0"/>
    <w:rsid w:val="00A52794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2FE6"/>
    <w:rsid w:val="00A94E85"/>
    <w:rsid w:val="00A97A55"/>
    <w:rsid w:val="00AA07A7"/>
    <w:rsid w:val="00AA165C"/>
    <w:rsid w:val="00AA4961"/>
    <w:rsid w:val="00AA5653"/>
    <w:rsid w:val="00AA596F"/>
    <w:rsid w:val="00AA6BAC"/>
    <w:rsid w:val="00AA7879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569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032"/>
    <w:rsid w:val="00B477B9"/>
    <w:rsid w:val="00B50415"/>
    <w:rsid w:val="00B5156C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2E31"/>
    <w:rsid w:val="00B74431"/>
    <w:rsid w:val="00B75DFB"/>
    <w:rsid w:val="00B76FDB"/>
    <w:rsid w:val="00B77790"/>
    <w:rsid w:val="00B7791E"/>
    <w:rsid w:val="00B77ECF"/>
    <w:rsid w:val="00B77F28"/>
    <w:rsid w:val="00B80192"/>
    <w:rsid w:val="00B811D6"/>
    <w:rsid w:val="00B81609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0CAF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396C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65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31C9"/>
    <w:rsid w:val="00C241C3"/>
    <w:rsid w:val="00C242BD"/>
    <w:rsid w:val="00C26919"/>
    <w:rsid w:val="00C26DB5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0660"/>
    <w:rsid w:val="00C74896"/>
    <w:rsid w:val="00C75BF8"/>
    <w:rsid w:val="00C7654F"/>
    <w:rsid w:val="00C765BC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26D9"/>
    <w:rsid w:val="00CE4547"/>
    <w:rsid w:val="00CE496F"/>
    <w:rsid w:val="00CE4DA9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6D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0A4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5618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A7F4D"/>
    <w:rsid w:val="00DB183D"/>
    <w:rsid w:val="00DB1977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E0626"/>
    <w:rsid w:val="00DE0E77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1646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49F"/>
    <w:rsid w:val="00E92B19"/>
    <w:rsid w:val="00E95420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2245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41FB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0A09"/>
    <w:rsid w:val="00F24715"/>
    <w:rsid w:val="00F248F9"/>
    <w:rsid w:val="00F26133"/>
    <w:rsid w:val="00F31FAB"/>
    <w:rsid w:val="00F3206C"/>
    <w:rsid w:val="00F3239A"/>
    <w:rsid w:val="00F32829"/>
    <w:rsid w:val="00F355BF"/>
    <w:rsid w:val="00F358CC"/>
    <w:rsid w:val="00F373DC"/>
    <w:rsid w:val="00F40DB2"/>
    <w:rsid w:val="00F411D5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1F87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1033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14B"/>
    <w:rsid w:val="00FB3311"/>
    <w:rsid w:val="00FB3D2A"/>
    <w:rsid w:val="00FB5BE5"/>
    <w:rsid w:val="00FB5D52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B62031DC-6228-481E-9B30-065BC14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uiPriority w:val="39"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uiPriority w:val="99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link w:val="PrrafodelistaCar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character" w:styleId="nfasis">
    <w:name w:val="Emphasis"/>
    <w:qFormat/>
    <w:rsid w:val="00612D79"/>
    <w:rPr>
      <w:iCs/>
      <w:sz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A50391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4E59-F2BF-43FD-A4B0-A61EC3DA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2465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15993</CharactersWithSpaces>
  <SharedDoc>false</SharedDoc>
  <HLinks>
    <vt:vector size="90" baseType="variant"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_Toc480475213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_Toc480475212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_Toc480475211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_Toc480475210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_Toc480475209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_Toc480475208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_Toc480475207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_Toc480475206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_Toc480475205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_Toc480475204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_Toc480475203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_Toc480475202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_Toc480475201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_Toc480475200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_Toc480475199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Sandra Boado Quiroga Rojas</cp:lastModifiedBy>
  <cp:revision>2</cp:revision>
  <cp:lastPrinted>2017-04-27T20:27:00Z</cp:lastPrinted>
  <dcterms:created xsi:type="dcterms:W3CDTF">2017-11-16T04:31:00Z</dcterms:created>
  <dcterms:modified xsi:type="dcterms:W3CDTF">2017-11-16T04:31:00Z</dcterms:modified>
</cp:coreProperties>
</file>