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F32F7" w:rsidRPr="00203B7A" w:rsidTr="001C7B54">
        <w:trPr>
          <w:trHeight w:val="60"/>
          <w:jc w:val="center"/>
        </w:trPr>
        <w:tc>
          <w:tcPr>
            <w:tcW w:w="0" w:type="auto"/>
            <w:shd w:val="clear" w:color="auto" w:fill="B4C6E7"/>
            <w:vAlign w:val="center"/>
          </w:tcPr>
          <w:p w:rsidR="00DF32F7" w:rsidRPr="00203B7A" w:rsidRDefault="00DF32F7" w:rsidP="001C7B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1C184D"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- GARANTÍAS FINANCIERAS</w:t>
            </w:r>
          </w:p>
        </w:tc>
      </w:tr>
      <w:tr w:rsidR="00DF32F7" w:rsidRPr="00203B7A" w:rsidTr="004A5377">
        <w:trPr>
          <w:trHeight w:val="60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06C" w:rsidRPr="00547730" w:rsidRDefault="00AA306C" w:rsidP="00AA306C">
            <w:pPr>
              <w:pStyle w:val="Sinespaciad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47730">
              <w:rPr>
                <w:rFonts w:ascii="Verdana" w:hAnsi="Verdana"/>
                <w:b/>
                <w:sz w:val="18"/>
                <w:szCs w:val="18"/>
              </w:rPr>
              <w:t>GARANTÍA DE SERIEDAD DE PROPUESTA PARA PROPONENTES</w:t>
            </w:r>
          </w:p>
          <w:p w:rsidR="00AA306C" w:rsidRDefault="00AA306C" w:rsidP="00AA306C">
            <w:pPr>
              <w:jc w:val="both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  <w:p w:rsidR="00AA306C" w:rsidRDefault="00AA306C" w:rsidP="00AA306C">
            <w:pPr>
              <w:jc w:val="both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>
              <w:rPr>
                <w:rFonts w:ascii="Calibri" w:hAnsi="Calibri" w:cs="Calibri"/>
                <w:sz w:val="22"/>
                <w:szCs w:val="22"/>
                <w:lang w:eastAsia="es-BO"/>
              </w:rPr>
              <w:t>La Garantía de seriedad de propuesta tiene por objeto garantizar que los proponentes participen de buena fe y con la intención de culminar el proceso, en este sentido los proponentes deben presentar las garantías bajo los siguientes parámetros:</w:t>
            </w:r>
          </w:p>
          <w:p w:rsidR="00AA306C" w:rsidRPr="00AD178D" w:rsidRDefault="00AA306C" w:rsidP="00AA306C">
            <w:pPr>
              <w:jc w:val="both"/>
              <w:rPr>
                <w:rFonts w:asciiTheme="minorHAnsi" w:hAnsiTheme="minorHAnsi"/>
                <w:bCs/>
                <w:color w:val="1F497D"/>
                <w:sz w:val="22"/>
                <w:szCs w:val="22"/>
                <w:lang w:eastAsia="es-BO"/>
              </w:rPr>
            </w:pPr>
          </w:p>
          <w:p w:rsidR="00AA306C" w:rsidRPr="00CA4E1B" w:rsidRDefault="00AA306C" w:rsidP="00AA306C">
            <w:pPr>
              <w:jc w:val="both"/>
              <w:rPr>
                <w:rFonts w:asciiTheme="minorHAnsi" w:hAnsiTheme="minorHAnsi"/>
                <w:sz w:val="22"/>
                <w:szCs w:val="22"/>
                <w:lang w:val="es-BO" w:eastAsia="es-BO"/>
              </w:rPr>
            </w:pPr>
            <w:r w:rsidRPr="00AD178D">
              <w:rPr>
                <w:rFonts w:asciiTheme="minorHAnsi" w:hAnsiTheme="minorHAnsi"/>
                <w:b/>
                <w:bCs/>
                <w:sz w:val="22"/>
                <w:szCs w:val="22"/>
                <w:lang w:val="es-BO" w:eastAsia="es-BO"/>
              </w:rPr>
              <w:t>Boleta de Garantía</w:t>
            </w:r>
            <w:r w:rsidRPr="00AD178D">
              <w:rPr>
                <w:rFonts w:asciiTheme="minorHAnsi" w:hAnsiTheme="minorHAnsi"/>
                <w:sz w:val="22"/>
                <w:szCs w:val="22"/>
                <w:lang w:val="es-BO" w:eastAsia="es-BO"/>
              </w:rPr>
      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</w:t>
            </w:r>
            <w:r w:rsidRPr="00AD178D">
              <w:rPr>
                <w:rFonts w:asciiTheme="minorHAnsi" w:hAnsiTheme="minorHAnsi"/>
                <w:bCs/>
                <w:sz w:val="22"/>
                <w:szCs w:val="22"/>
                <w:lang w:val="es-BO" w:eastAsia="es-BO"/>
              </w:rPr>
              <w:t>renovable, irrevocable y de ejecución inmediata</w:t>
            </w:r>
            <w:r w:rsidRPr="00AD178D">
              <w:rPr>
                <w:rFonts w:asciiTheme="minorHAnsi" w:hAnsiTheme="minorHAnsi"/>
                <w:sz w:val="22"/>
                <w:szCs w:val="22"/>
                <w:lang w:val="es-BO" w:eastAsia="es-BO"/>
              </w:rPr>
              <w:t xml:space="preserve"> con vigencia de </w:t>
            </w:r>
            <w:r>
              <w:rPr>
                <w:rFonts w:asciiTheme="minorHAnsi" w:hAnsiTheme="minorHAnsi"/>
                <w:sz w:val="22"/>
                <w:szCs w:val="22"/>
                <w:lang w:val="es-BO" w:eastAsia="es-BO"/>
              </w:rPr>
              <w:t>120</w:t>
            </w:r>
            <w:r w:rsidRPr="00AD178D">
              <w:rPr>
                <w:rFonts w:asciiTheme="minorHAnsi" w:hAnsiTheme="minorHAnsi"/>
                <w:sz w:val="22"/>
                <w:szCs w:val="22"/>
                <w:lang w:val="es-BO" w:eastAsia="es-BO"/>
              </w:rPr>
              <w:t xml:space="preserve">  días </w:t>
            </w:r>
            <w:r>
              <w:rPr>
                <w:rFonts w:asciiTheme="minorHAnsi" w:hAnsiTheme="minorHAnsi"/>
                <w:sz w:val="22"/>
                <w:szCs w:val="22"/>
                <w:lang w:val="es-BO" w:eastAsia="es-BO"/>
              </w:rPr>
              <w:t>calendario del importe</w:t>
            </w:r>
            <w:r w:rsidRPr="00CA4E1B">
              <w:rPr>
                <w:rFonts w:asciiTheme="minorHAnsi" w:hAnsiTheme="minorHAnsi"/>
                <w:sz w:val="22"/>
                <w:szCs w:val="22"/>
                <w:lang w:val="es-BO" w:eastAsia="es-BO"/>
              </w:rPr>
              <w:t xml:space="preserve"> correspondiente al 1% uno por ciento del presupuesto asignado para la Contratación.</w:t>
            </w:r>
          </w:p>
          <w:p w:rsidR="00AA306C" w:rsidRPr="00AD178D" w:rsidRDefault="00AA306C" w:rsidP="00AA306C">
            <w:pPr>
              <w:jc w:val="both"/>
              <w:rPr>
                <w:rFonts w:asciiTheme="minorHAnsi" w:hAnsiTheme="minorHAnsi"/>
                <w:sz w:val="22"/>
                <w:szCs w:val="22"/>
                <w:lang w:val="es-BO" w:eastAsia="es-BO"/>
              </w:rPr>
            </w:pPr>
          </w:p>
          <w:p w:rsidR="00AA306C" w:rsidRPr="00AD178D" w:rsidRDefault="00AA306C" w:rsidP="00AA306C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</w:pPr>
            <w:r w:rsidRPr="00AD178D"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es-BO"/>
              </w:rPr>
              <w:t>Garantía a Primer Requerimiento</w:t>
            </w:r>
            <w:r w:rsidRPr="00AD178D"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 xml:space="preserve">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>120</w:t>
            </w:r>
            <w:r w:rsidRPr="00AD178D"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 xml:space="preserve">  días, </w:t>
            </w:r>
            <w:r>
              <w:rPr>
                <w:rFonts w:asciiTheme="minorHAnsi" w:hAnsiTheme="minorHAnsi"/>
                <w:sz w:val="22"/>
                <w:szCs w:val="22"/>
                <w:lang w:val="es-BO" w:eastAsia="es-BO"/>
              </w:rPr>
              <w:t>del importe</w:t>
            </w:r>
            <w:r w:rsidRPr="00CA4E1B">
              <w:rPr>
                <w:rFonts w:asciiTheme="minorHAnsi" w:hAnsiTheme="minorHAnsi"/>
                <w:sz w:val="22"/>
                <w:szCs w:val="22"/>
                <w:lang w:val="es-BO" w:eastAsia="es-BO"/>
              </w:rPr>
              <w:t xml:space="preserve"> correspondiente al 1% uno por ciento del presupuesto asignado para la Contratación.</w:t>
            </w:r>
          </w:p>
          <w:p w:rsidR="00AA306C" w:rsidRPr="00AD178D" w:rsidRDefault="00AA306C" w:rsidP="00AA306C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</w:pPr>
          </w:p>
          <w:p w:rsidR="00AA306C" w:rsidRDefault="00AA306C" w:rsidP="00AA306C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</w:pPr>
            <w:r w:rsidRPr="00AD178D">
              <w:rPr>
                <w:rFonts w:asciiTheme="minorHAnsi" w:hAnsiTheme="minorHAnsi" w:cs="Calibri"/>
                <w:b/>
                <w:snapToGrid w:val="0"/>
                <w:sz w:val="22"/>
                <w:szCs w:val="22"/>
                <w:lang w:val="es-BO"/>
              </w:rPr>
              <w:t>Póliza de caución a Primer requerimiento para Entidades Públicas</w:t>
            </w:r>
            <w:r w:rsidRPr="00AD178D"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>120</w:t>
            </w:r>
            <w:r w:rsidRPr="00AD178D"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 xml:space="preserve"> días</w:t>
            </w:r>
            <w:r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 xml:space="preserve"> calendario</w:t>
            </w:r>
            <w:r w:rsidRPr="00AD178D"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  <w:t xml:space="preserve"> a contar de la fecha prevista para la presentación de propuestas y </w:t>
            </w:r>
            <w:r>
              <w:rPr>
                <w:rFonts w:asciiTheme="minorHAnsi" w:hAnsiTheme="minorHAnsi"/>
                <w:sz w:val="22"/>
                <w:szCs w:val="22"/>
                <w:lang w:val="es-BO" w:eastAsia="es-BO"/>
              </w:rPr>
              <w:t>del importe</w:t>
            </w:r>
            <w:r w:rsidRPr="00CA4E1B">
              <w:rPr>
                <w:rFonts w:asciiTheme="minorHAnsi" w:hAnsiTheme="minorHAnsi"/>
                <w:sz w:val="22"/>
                <w:szCs w:val="22"/>
                <w:lang w:val="es-BO" w:eastAsia="es-BO"/>
              </w:rPr>
              <w:t xml:space="preserve"> correspondiente al 1% uno por ciento del presupuesto asignado para la Contratación.</w:t>
            </w:r>
          </w:p>
          <w:p w:rsidR="00AA306C" w:rsidRDefault="00AA306C" w:rsidP="00AA306C">
            <w:pPr>
              <w:jc w:val="both"/>
              <w:rPr>
                <w:rFonts w:asciiTheme="minorHAnsi" w:hAnsiTheme="minorHAnsi" w:cs="Calibri"/>
                <w:snapToGrid w:val="0"/>
                <w:sz w:val="22"/>
                <w:szCs w:val="22"/>
                <w:lang w:val="es-BO"/>
              </w:rPr>
            </w:pPr>
          </w:p>
          <w:p w:rsidR="00AA306C" w:rsidRPr="00547730" w:rsidRDefault="00AA306C" w:rsidP="00AA306C">
            <w:pPr>
              <w:jc w:val="both"/>
              <w:rPr>
                <w:rFonts w:ascii="Verdana" w:hAnsi="Verdana" w:cs="Calibri"/>
                <w:b/>
                <w:snapToGrid w:val="0"/>
                <w:sz w:val="18"/>
                <w:szCs w:val="18"/>
              </w:rPr>
            </w:pPr>
            <w:r w:rsidRPr="00547730">
              <w:rPr>
                <w:rFonts w:ascii="Verdana" w:hAnsi="Verdana" w:cs="Calibri"/>
                <w:b/>
                <w:snapToGrid w:val="0"/>
                <w:sz w:val="18"/>
                <w:szCs w:val="18"/>
              </w:rPr>
              <w:t>GARANTÍA DE CUMPLIMIENTO DE CONTRATO</w:t>
            </w:r>
            <w:r w:rsidRPr="00547730"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</w:t>
            </w:r>
            <w:r w:rsidRPr="00547730">
              <w:rPr>
                <w:rFonts w:ascii="Verdana" w:hAnsi="Verdana" w:cs="Calibri"/>
                <w:b/>
                <w:snapToGrid w:val="0"/>
                <w:sz w:val="18"/>
                <w:szCs w:val="18"/>
              </w:rPr>
              <w:t>PARA ADJUDICADOS</w:t>
            </w:r>
          </w:p>
          <w:p w:rsidR="00AA306C" w:rsidRPr="00547730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</w:p>
          <w:p w:rsidR="00AA306C" w:rsidRPr="00547730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  <w:r w:rsidRPr="00547730">
              <w:rPr>
                <w:rFonts w:ascii="Verdana" w:hAnsi="Verdana" w:cs="Calibri"/>
                <w:snapToGrid w:val="0"/>
                <w:sz w:val="18"/>
                <w:szCs w:val="18"/>
              </w:rPr>
              <w:t>De a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>cuerdo al importe Adjudicado la Empresa</w:t>
            </w:r>
            <w:r w:rsidRPr="00547730"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presenta las garantías de cumplimiento de contrato bajo los siguientes parámetros:</w:t>
            </w:r>
          </w:p>
          <w:p w:rsidR="00AA306C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</w:p>
          <w:p w:rsidR="00AA306C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  <w:r w:rsidRPr="00AD178D">
              <w:rPr>
                <w:rFonts w:ascii="Verdana" w:hAnsi="Verdana" w:cs="Calibri"/>
                <w:b/>
                <w:snapToGrid w:val="0"/>
                <w:sz w:val="18"/>
                <w:szCs w:val="18"/>
              </w:rPr>
              <w:t>Boleta de Garantía,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>60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días calendario adicionales a la vigencia del contrato, 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>del importe correspondiente al 7% del presupuesto adjudicado de la contratación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>.</w:t>
            </w:r>
          </w:p>
          <w:p w:rsidR="00AA306C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</w:p>
          <w:p w:rsidR="00AA306C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  <w:r w:rsidRPr="00AD178D">
              <w:rPr>
                <w:rFonts w:ascii="Verdana" w:hAnsi="Verdana" w:cs="Calibri"/>
                <w:b/>
                <w:snapToGrid w:val="0"/>
                <w:sz w:val="18"/>
                <w:szCs w:val="18"/>
              </w:rPr>
              <w:t>Garantía a Primer Requerimiento,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60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días calendario adicionales a la vigencia del contrato, 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>del importe correspondiente al 7% del presupuesto adjudicado de la contratación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>.</w:t>
            </w:r>
          </w:p>
          <w:p w:rsidR="00AA306C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</w:p>
          <w:p w:rsidR="00AA306C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  <w:r w:rsidRPr="00AD178D">
              <w:rPr>
                <w:rFonts w:ascii="Verdana" w:hAnsi="Verdana" w:cs="Calibri"/>
                <w:b/>
                <w:snapToGrid w:val="0"/>
                <w:sz w:val="18"/>
                <w:szCs w:val="18"/>
              </w:rPr>
              <w:t>Póliza de caución a Primer requerimiento para Entidades Públicas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requerimiento con vigencia de 60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 xml:space="preserve"> días calendario adicionales 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lastRenderedPageBreak/>
              <w:t xml:space="preserve">a la vigencia del contrato, 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>del importe correspondiente al 7% del presupuesto adjudicado de la contratación</w:t>
            </w:r>
            <w:r w:rsidRPr="00AD178D">
              <w:rPr>
                <w:rFonts w:ascii="Verdana" w:hAnsi="Verdana" w:cs="Calibri"/>
                <w:snapToGrid w:val="0"/>
                <w:sz w:val="18"/>
                <w:szCs w:val="18"/>
              </w:rPr>
              <w:t>.</w:t>
            </w:r>
          </w:p>
          <w:p w:rsidR="000D1E5F" w:rsidRDefault="000D1E5F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  <w:bookmarkStart w:id="0" w:name="_GoBack"/>
            <w:bookmarkEnd w:id="0"/>
          </w:p>
          <w:p w:rsidR="00AA306C" w:rsidRPr="00547730" w:rsidRDefault="00AA306C" w:rsidP="00AA306C">
            <w:pPr>
              <w:jc w:val="both"/>
              <w:rPr>
                <w:rFonts w:ascii="Verdana" w:hAnsi="Verdana" w:cs="Calibri"/>
                <w:snapToGrid w:val="0"/>
                <w:sz w:val="18"/>
                <w:szCs w:val="18"/>
              </w:rPr>
            </w:pPr>
            <w:r w:rsidRPr="00616036">
              <w:rPr>
                <w:rFonts w:ascii="Verdana" w:hAnsi="Verdana" w:cs="Calibri"/>
                <w:b/>
                <w:snapToGrid w:val="0"/>
                <w:sz w:val="18"/>
                <w:szCs w:val="18"/>
              </w:rPr>
              <w:t>Retenciones</w:t>
            </w:r>
            <w:r w:rsidRPr="00616036">
              <w:rPr>
                <w:rFonts w:ascii="Verdana" w:hAnsi="Verdana" w:cs="Calibri"/>
                <w:snapToGrid w:val="0"/>
                <w:sz w:val="18"/>
                <w:szCs w:val="18"/>
              </w:rPr>
              <w:t>, el proponente podrá solicitar expresamente a Yacimientos Petrolíferos Fiscales Bolivianos, la retención del 7% de cada pago parcial recibido</w:t>
            </w:r>
            <w:r>
              <w:rPr>
                <w:rFonts w:ascii="Verdana" w:hAnsi="Verdana" w:cs="Calibri"/>
                <w:snapToGrid w:val="0"/>
                <w:sz w:val="18"/>
                <w:szCs w:val="18"/>
              </w:rPr>
              <w:t>.</w:t>
            </w:r>
          </w:p>
          <w:p w:rsidR="00DF32F7" w:rsidRPr="001C7B54" w:rsidRDefault="00DF32F7" w:rsidP="00D42ADC">
            <w:pPr>
              <w:spacing w:after="120"/>
              <w:ind w:left="72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A14D5" w:rsidRDefault="00BA14D5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A14D5" w:rsidRDefault="00BA14D5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306C" w:rsidRDefault="00AA306C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97B74" w:rsidRPr="00767FD8" w:rsidRDefault="00D97B74" w:rsidP="00D97B7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7FD8">
        <w:rPr>
          <w:rFonts w:ascii="Arial" w:hAnsi="Arial" w:cs="Arial"/>
          <w:b/>
          <w:bCs/>
          <w:sz w:val="20"/>
          <w:szCs w:val="20"/>
        </w:rPr>
        <w:t>INSTRUCCIONES PARA LA EMISION DE INSTRUMENTOS FINANCIEROS</w:t>
      </w:r>
    </w:p>
    <w:p w:rsidR="00D97B74" w:rsidRPr="00767FD8" w:rsidRDefault="00D97B74" w:rsidP="00D97B74">
      <w:pPr>
        <w:jc w:val="both"/>
        <w:rPr>
          <w:rFonts w:ascii="Arial" w:hAnsi="Arial" w:cs="Arial"/>
          <w:sz w:val="20"/>
          <w:szCs w:val="20"/>
        </w:rPr>
      </w:pPr>
      <w:r w:rsidRPr="00767FD8">
        <w:rPr>
          <w:rFonts w:ascii="Arial" w:hAnsi="Arial" w:cs="Arial"/>
          <w:sz w:val="20"/>
          <w:szCs w:val="20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767FD8">
        <w:rPr>
          <w:rFonts w:ascii="Arial" w:hAnsi="Arial" w:cs="Arial"/>
          <w:sz w:val="20"/>
          <w:szCs w:val="20"/>
          <w:u w:val="single"/>
        </w:rPr>
        <w:t>cumpliendo obligatoriamente</w:t>
      </w:r>
      <w:r w:rsidRPr="00767FD8">
        <w:rPr>
          <w:rFonts w:ascii="Arial" w:hAnsi="Arial" w:cs="Arial"/>
          <w:sz w:val="20"/>
          <w:szCs w:val="20"/>
        </w:rPr>
        <w:t xml:space="preserve"> con las siguientes condiciones: </w:t>
      </w: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D97B74" w:rsidRPr="00767FD8" w:rsidTr="00164277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INSTRUCCIÓN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lastRenderedPageBreak/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Style w:val="nfasis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Se aceptará </w:t>
            </w: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únicamente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los instrumentos detallados en el presente anexo.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OBJETO DE LA GARANTÍA</w:t>
            </w:r>
          </w:p>
          <w:p w:rsidR="00D97B74" w:rsidRPr="00767FD8" w:rsidRDefault="00D97B74" w:rsidP="00164277">
            <w:pPr>
              <w:pStyle w:val="Prrafodelista"/>
              <w:ind w:left="0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 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correctamente y de manera explícita, textual y completa: 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Objeto a garantizar conforme lo requerido en el presente anexo.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Nombre del proceso de contratación, conforme al registrado en la carátula del DBC.</w:t>
            </w:r>
          </w:p>
          <w:p w:rsidR="00D97B74" w:rsidRPr="00767FD8" w:rsidRDefault="00D97B74" w:rsidP="00D97B7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Código del Proceso de contratación: conforme al registrado en la carátula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el nombre plenamente concordante con el registrado en los siguientes documentos en orden de prelación, según corresponda al documento requerido en el DBC: 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Matrícula de Comercio FUNDEMPRESA, priori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Número de Identificación Tributaria – NIT (o equivalente en el país de origen); o</w:t>
            </w:r>
          </w:p>
          <w:p w:rsidR="00D97B74" w:rsidRPr="00767FD8" w:rsidRDefault="00D97B74" w:rsidP="00D97B74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Documento de Acta de Constitución. 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consignar: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YACIMIENTOS PETROLIFEROS FISCALES BOLIVIANOS;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YPFB;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767FD8">
              <w:rPr>
                <w:rFonts w:ascii="Arial" w:hAnsi="Arial"/>
                <w:i/>
                <w:sz w:val="20"/>
                <w:szCs w:val="20"/>
              </w:rPr>
              <w:t>o ambos.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el valor/importe/monto correctamente calculado, conforme el presente anexo y la “Garantía según el objeto” requerida, considerando el </w:t>
            </w:r>
            <w:proofErr w:type="spellStart"/>
            <w:r w:rsidRPr="00767FD8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767FD8">
              <w:rPr>
                <w:rFonts w:ascii="Arial" w:hAnsi="Arial" w:cs="Arial"/>
                <w:sz w:val="20"/>
                <w:szCs w:val="20"/>
              </w:rPr>
              <w:t xml:space="preserve"> c) de los Aspectos Subsanables del DBC.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rPr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Debe consignar una vigencia igual o mayor al requerido en el presente Anexo, 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Para Garantía de Seriedad de Propuesta: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(120 días) computable a partir de la “Fecha de presentación de propuesta”, establecido en el Cronograma de Plazos del DBC.</w:t>
            </w:r>
          </w:p>
          <w:p w:rsidR="00D97B74" w:rsidRPr="00767FD8" w:rsidRDefault="00D97B74" w:rsidP="00D97B74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  <w:u w:val="single"/>
              </w:rPr>
              <w:t>Otras garantías:</w:t>
            </w:r>
            <w:r w:rsidRPr="00767FD8">
              <w:rPr>
                <w:rFonts w:ascii="Arial" w:hAnsi="Arial" w:cs="Arial"/>
                <w:sz w:val="20"/>
                <w:szCs w:val="20"/>
              </w:rPr>
              <w:t xml:space="preserve"> conforme lo requerido en el presente anexo.</w:t>
            </w:r>
          </w:p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El proponente o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D97B74" w:rsidRPr="00767FD8" w:rsidTr="00164277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74" w:rsidRPr="00767FD8" w:rsidRDefault="00D97B74" w:rsidP="00164277">
            <w:pPr>
              <w:pStyle w:val="Prrafodelista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67FD8">
              <w:rPr>
                <w:b/>
                <w:bCs/>
                <w:sz w:val="20"/>
                <w:szCs w:val="20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B74" w:rsidRPr="00767FD8" w:rsidRDefault="00D97B74" w:rsidP="00164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>Debe incluir las cláusulas de: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Boletas de Garantía: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INMEDIATA</w:t>
            </w:r>
          </w:p>
          <w:p w:rsidR="00D97B74" w:rsidRPr="00767FD8" w:rsidRDefault="00D97B74" w:rsidP="00D97B74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FD8">
              <w:rPr>
                <w:rFonts w:ascii="Arial" w:hAnsi="Arial" w:cs="Arial"/>
                <w:sz w:val="20"/>
                <w:szCs w:val="20"/>
              </w:rPr>
              <w:t xml:space="preserve">Para Garantías a Primer Requerimiento: RENOVABLE, IRREVOCABLE y </w:t>
            </w:r>
            <w:r w:rsidRPr="00767FD8">
              <w:rPr>
                <w:rFonts w:ascii="Arial" w:hAnsi="Arial" w:cs="Arial"/>
                <w:b/>
                <w:sz w:val="20"/>
                <w:szCs w:val="20"/>
                <w:u w:val="single"/>
              </w:rPr>
              <w:t>explícitamente</w:t>
            </w:r>
            <w:r w:rsidRPr="00767F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7FD8">
              <w:rPr>
                <w:rFonts w:ascii="Arial" w:hAnsi="Arial" w:cs="Arial"/>
                <w:sz w:val="20"/>
                <w:szCs w:val="20"/>
              </w:rPr>
              <w:t>de EJECUCIÓN A PRIMER REQUERIMIENTO</w:t>
            </w:r>
          </w:p>
        </w:tc>
      </w:tr>
    </w:tbl>
    <w:p w:rsidR="004A5377" w:rsidRDefault="00D97B74" w:rsidP="00E877CD">
      <w:r w:rsidRPr="00767FD8">
        <w:rPr>
          <w:b/>
          <w:sz w:val="20"/>
          <w:szCs w:val="20"/>
        </w:rPr>
        <w:t xml:space="preserve">NOTA: EL INCUMPLIMIENTO DE LOS PARAMETROS ESTABLECIDOS PRECEDENTEMENTE,  </w:t>
      </w:r>
      <w:r w:rsidRPr="00767FD8">
        <w:rPr>
          <w:b/>
          <w:sz w:val="20"/>
          <w:szCs w:val="20"/>
          <w:u w:val="single"/>
        </w:rPr>
        <w:t>NO DARÁ LUGAR A SUBSANACION ALGUNA</w:t>
      </w:r>
    </w:p>
    <w:sectPr w:rsidR="004A5377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6"/>
  </w:num>
  <w:num w:numId="5">
    <w:abstractNumId w:val="17"/>
  </w:num>
  <w:num w:numId="6">
    <w:abstractNumId w:val="2"/>
  </w:num>
  <w:num w:numId="7">
    <w:abstractNumId w:val="1"/>
  </w:num>
  <w:num w:numId="8">
    <w:abstractNumId w:val="8"/>
  </w:num>
  <w:num w:numId="9">
    <w:abstractNumId w:val="20"/>
  </w:num>
  <w:num w:numId="10">
    <w:abstractNumId w:val="11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8"/>
  </w:num>
  <w:num w:numId="16">
    <w:abstractNumId w:val="5"/>
  </w:num>
  <w:num w:numId="17">
    <w:abstractNumId w:val="10"/>
  </w:num>
  <w:num w:numId="18">
    <w:abstractNumId w:val="14"/>
  </w:num>
  <w:num w:numId="19">
    <w:abstractNumId w:val="13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21F34"/>
    <w:rsid w:val="00032BA5"/>
    <w:rsid w:val="00055D64"/>
    <w:rsid w:val="000A7009"/>
    <w:rsid w:val="000D1E5F"/>
    <w:rsid w:val="001C184D"/>
    <w:rsid w:val="001C7B54"/>
    <w:rsid w:val="00267DD9"/>
    <w:rsid w:val="00331839"/>
    <w:rsid w:val="00427B19"/>
    <w:rsid w:val="004A5377"/>
    <w:rsid w:val="00510628"/>
    <w:rsid w:val="00561CFF"/>
    <w:rsid w:val="005E366C"/>
    <w:rsid w:val="006126E0"/>
    <w:rsid w:val="00624F22"/>
    <w:rsid w:val="006D65FD"/>
    <w:rsid w:val="00825009"/>
    <w:rsid w:val="008E0677"/>
    <w:rsid w:val="00AA306C"/>
    <w:rsid w:val="00B51347"/>
    <w:rsid w:val="00BA14D5"/>
    <w:rsid w:val="00C31759"/>
    <w:rsid w:val="00C9114D"/>
    <w:rsid w:val="00D42ADC"/>
    <w:rsid w:val="00D97B74"/>
    <w:rsid w:val="00DF32F7"/>
    <w:rsid w:val="00E07B2F"/>
    <w:rsid w:val="00E6263C"/>
    <w:rsid w:val="00E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4B4B15-F079-44DB-9663-036179BA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4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pendiceA2">
    <w:name w:val="Apendice A2"/>
    <w:basedOn w:val="Normal"/>
    <w:link w:val="ApendiceA2Car"/>
    <w:rsid w:val="00C9114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9114D"/>
    <w:rPr>
      <w:rFonts w:ascii="Arial" w:eastAsia="Times New Roman" w:hAnsi="Arial" w:cs="Times New Roman"/>
      <w:lang w:eastAsia="es-ES"/>
    </w:rPr>
  </w:style>
  <w:style w:type="paragraph" w:styleId="Encabezado">
    <w:name w:val="header"/>
    <w:basedOn w:val="Normal"/>
    <w:link w:val="EncabezadoCar"/>
    <w:uiPriority w:val="99"/>
    <w:rsid w:val="00C9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1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D97B74"/>
    <w:rPr>
      <w:i/>
      <w:iCs/>
    </w:rPr>
  </w:style>
  <w:style w:type="paragraph" w:styleId="Sinespaciado">
    <w:name w:val="No Spacing"/>
    <w:link w:val="SinespaciadoCar"/>
    <w:uiPriority w:val="1"/>
    <w:qFormat/>
    <w:rsid w:val="00AA30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AA306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98F6-3007-401B-8D38-48DCCE10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982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5</cp:revision>
  <cp:lastPrinted>2017-12-20T12:07:00Z</cp:lastPrinted>
  <dcterms:created xsi:type="dcterms:W3CDTF">2017-12-20T12:05:00Z</dcterms:created>
  <dcterms:modified xsi:type="dcterms:W3CDTF">2017-12-29T19:14:00Z</dcterms:modified>
</cp:coreProperties>
</file>