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28"/>
      </w:tblGrid>
      <w:tr w:rsidR="00DF32F7" w:rsidRPr="00203B7A" w:rsidTr="001C7B54">
        <w:trPr>
          <w:trHeight w:val="60"/>
          <w:jc w:val="center"/>
        </w:trPr>
        <w:tc>
          <w:tcPr>
            <w:tcW w:w="0" w:type="auto"/>
            <w:shd w:val="clear" w:color="auto" w:fill="B4C6E7"/>
            <w:vAlign w:val="center"/>
          </w:tcPr>
          <w:p w:rsidR="00DF32F7" w:rsidRPr="00203B7A" w:rsidRDefault="00DF32F7" w:rsidP="001C7B5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Calibri"/>
                <w:b/>
                <w:sz w:val="18"/>
                <w:szCs w:val="18"/>
              </w:rPr>
            </w:pPr>
            <w:r w:rsidRPr="00203B7A">
              <w:rPr>
                <w:rFonts w:ascii="Verdana" w:hAnsi="Verdana" w:cs="Calibri"/>
                <w:b/>
                <w:sz w:val="18"/>
                <w:szCs w:val="18"/>
              </w:rPr>
              <w:t xml:space="preserve">ANEXO </w:t>
            </w:r>
            <w:r w:rsidR="001C184D">
              <w:rPr>
                <w:rFonts w:ascii="Verdana" w:hAnsi="Verdana" w:cs="Calibri"/>
                <w:b/>
                <w:sz w:val="18"/>
                <w:szCs w:val="18"/>
              </w:rPr>
              <w:t>3</w:t>
            </w:r>
            <w:r w:rsidRPr="00203B7A">
              <w:rPr>
                <w:rFonts w:ascii="Verdana" w:hAnsi="Verdana" w:cs="Calibri"/>
                <w:b/>
                <w:sz w:val="18"/>
                <w:szCs w:val="18"/>
              </w:rPr>
              <w:t xml:space="preserve"> - GARANTÍAS FINANCIERAS</w:t>
            </w:r>
          </w:p>
        </w:tc>
      </w:tr>
      <w:tr w:rsidR="00DF32F7" w:rsidRPr="00203B7A" w:rsidTr="004A5377">
        <w:trPr>
          <w:trHeight w:val="604"/>
          <w:jc w:val="center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A306C" w:rsidRPr="00547730" w:rsidRDefault="00AA306C" w:rsidP="00AA306C">
            <w:pPr>
              <w:pStyle w:val="Sinespaciado"/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547730">
              <w:rPr>
                <w:rFonts w:ascii="Verdana" w:hAnsi="Verdana"/>
                <w:b/>
                <w:sz w:val="18"/>
                <w:szCs w:val="18"/>
              </w:rPr>
              <w:t>GARANTÍA DE SERIEDAD DE PROPUESTA PARA PROPONENTES</w:t>
            </w:r>
          </w:p>
          <w:p w:rsidR="00AA306C" w:rsidRDefault="00AA306C" w:rsidP="00AA306C">
            <w:pPr>
              <w:jc w:val="both"/>
              <w:rPr>
                <w:rFonts w:ascii="Calibri" w:hAnsi="Calibri" w:cs="Calibri"/>
                <w:sz w:val="22"/>
                <w:szCs w:val="22"/>
                <w:lang w:eastAsia="es-BO"/>
              </w:rPr>
            </w:pPr>
          </w:p>
          <w:p w:rsidR="00AA306C" w:rsidRDefault="00AA306C" w:rsidP="00AA306C">
            <w:pPr>
              <w:jc w:val="both"/>
              <w:rPr>
                <w:rFonts w:ascii="Calibri" w:hAnsi="Calibri" w:cs="Calibri"/>
                <w:sz w:val="22"/>
                <w:szCs w:val="22"/>
                <w:lang w:eastAsia="es-BO"/>
              </w:rPr>
            </w:pPr>
            <w:r>
              <w:rPr>
                <w:rFonts w:ascii="Calibri" w:hAnsi="Calibri" w:cs="Calibri"/>
                <w:sz w:val="22"/>
                <w:szCs w:val="22"/>
                <w:lang w:eastAsia="es-BO"/>
              </w:rPr>
              <w:t>La Garantía de seriedad de propuesta tiene por objeto garantizar que los proponentes participen de buena fe y con la intención de culminar el proceso, en este sentido los proponentes deben presentar las garantías bajo los siguientes parámetros:</w:t>
            </w:r>
          </w:p>
          <w:p w:rsidR="00AA306C" w:rsidRPr="00AD178D" w:rsidRDefault="00AA306C" w:rsidP="00AA306C">
            <w:pPr>
              <w:jc w:val="both"/>
              <w:rPr>
                <w:rFonts w:asciiTheme="minorHAnsi" w:hAnsiTheme="minorHAnsi"/>
                <w:bCs/>
                <w:color w:val="1F497D"/>
                <w:sz w:val="22"/>
                <w:szCs w:val="22"/>
                <w:lang w:eastAsia="es-BO"/>
              </w:rPr>
            </w:pPr>
          </w:p>
          <w:p w:rsidR="00AA306C" w:rsidRPr="00CA4E1B" w:rsidRDefault="00AA306C" w:rsidP="00AA306C">
            <w:pPr>
              <w:jc w:val="both"/>
              <w:rPr>
                <w:rFonts w:asciiTheme="minorHAnsi" w:hAnsiTheme="minorHAnsi"/>
                <w:sz w:val="22"/>
                <w:szCs w:val="22"/>
                <w:lang w:val="es-BO" w:eastAsia="es-BO"/>
              </w:rPr>
            </w:pPr>
            <w:r w:rsidRPr="00AD178D">
              <w:rPr>
                <w:rFonts w:asciiTheme="minorHAnsi" w:hAnsiTheme="minorHAnsi"/>
                <w:b/>
                <w:bCs/>
                <w:sz w:val="22"/>
                <w:szCs w:val="22"/>
                <w:lang w:val="es-BO" w:eastAsia="es-BO"/>
              </w:rPr>
              <w:t>Boleta de Garantía</w:t>
            </w:r>
            <w:r w:rsidRPr="00AD178D">
              <w:rPr>
                <w:rFonts w:asciiTheme="minorHAnsi" w:hAnsiTheme="minorHAnsi"/>
                <w:sz w:val="22"/>
                <w:szCs w:val="22"/>
                <w:lang w:val="es-BO" w:eastAsia="es-BO"/>
              </w:rPr>
              <w:t xml:space="preserve">, emitida por una Entidad Bancaria del Estado Plurinacional de Bolivia, registrada, autorizada y bajo el control de la Autoridad de Supervisión del Sistema Financiero-ASFI,  a la orden/a favor de Yacimientos Petrolíferos Fiscales Bolivianos, con las características expresas de </w:t>
            </w:r>
            <w:r w:rsidRPr="00AD178D">
              <w:rPr>
                <w:rFonts w:asciiTheme="minorHAnsi" w:hAnsiTheme="minorHAnsi"/>
                <w:bCs/>
                <w:sz w:val="22"/>
                <w:szCs w:val="22"/>
                <w:lang w:val="es-BO" w:eastAsia="es-BO"/>
              </w:rPr>
              <w:t>renovable, irrevocable y de ejecución inmediata</w:t>
            </w:r>
            <w:r w:rsidRPr="00AD178D">
              <w:rPr>
                <w:rFonts w:asciiTheme="minorHAnsi" w:hAnsiTheme="minorHAnsi"/>
                <w:sz w:val="22"/>
                <w:szCs w:val="22"/>
                <w:lang w:val="es-BO" w:eastAsia="es-BO"/>
              </w:rPr>
              <w:t xml:space="preserve"> con vigencia de </w:t>
            </w:r>
            <w:r>
              <w:rPr>
                <w:rFonts w:asciiTheme="minorHAnsi" w:hAnsiTheme="minorHAnsi"/>
                <w:sz w:val="22"/>
                <w:szCs w:val="22"/>
                <w:lang w:val="es-BO" w:eastAsia="es-BO"/>
              </w:rPr>
              <w:t>120</w:t>
            </w:r>
            <w:r w:rsidRPr="00AD178D">
              <w:rPr>
                <w:rFonts w:asciiTheme="minorHAnsi" w:hAnsiTheme="minorHAnsi"/>
                <w:sz w:val="22"/>
                <w:szCs w:val="22"/>
                <w:lang w:val="es-BO" w:eastAsia="es-BO"/>
              </w:rPr>
              <w:t xml:space="preserve">  días </w:t>
            </w:r>
            <w:r>
              <w:rPr>
                <w:rFonts w:asciiTheme="minorHAnsi" w:hAnsiTheme="minorHAnsi"/>
                <w:sz w:val="22"/>
                <w:szCs w:val="22"/>
                <w:lang w:val="es-BO" w:eastAsia="es-BO"/>
              </w:rPr>
              <w:t>calendario del importe</w:t>
            </w:r>
            <w:r w:rsidRPr="00CA4E1B">
              <w:rPr>
                <w:rFonts w:asciiTheme="minorHAnsi" w:hAnsiTheme="minorHAnsi"/>
                <w:sz w:val="22"/>
                <w:szCs w:val="22"/>
                <w:lang w:val="es-BO" w:eastAsia="es-BO"/>
              </w:rPr>
              <w:t xml:space="preserve"> correspondiente al 1% uno por ciento del presupuesto asignado para la Contratación.</w:t>
            </w:r>
          </w:p>
          <w:p w:rsidR="00AA306C" w:rsidRPr="00AD178D" w:rsidRDefault="00AA306C" w:rsidP="00AA306C">
            <w:pPr>
              <w:jc w:val="both"/>
              <w:rPr>
                <w:rFonts w:asciiTheme="minorHAnsi" w:hAnsiTheme="minorHAnsi"/>
                <w:sz w:val="22"/>
                <w:szCs w:val="22"/>
                <w:lang w:val="es-BO" w:eastAsia="es-BO"/>
              </w:rPr>
            </w:pPr>
          </w:p>
          <w:p w:rsidR="00AA306C" w:rsidRPr="00AD178D" w:rsidRDefault="00AA306C" w:rsidP="00AA306C">
            <w:pPr>
              <w:jc w:val="both"/>
              <w:rPr>
                <w:rFonts w:asciiTheme="minorHAnsi" w:hAnsiTheme="minorHAnsi" w:cs="Calibri"/>
                <w:snapToGrid w:val="0"/>
                <w:sz w:val="22"/>
                <w:szCs w:val="22"/>
                <w:lang w:val="es-BO"/>
              </w:rPr>
            </w:pPr>
            <w:r w:rsidRPr="00AD178D">
              <w:rPr>
                <w:rFonts w:asciiTheme="minorHAnsi" w:hAnsiTheme="minorHAnsi" w:cs="Calibri"/>
                <w:b/>
                <w:snapToGrid w:val="0"/>
                <w:sz w:val="22"/>
                <w:szCs w:val="22"/>
                <w:lang w:val="es-BO"/>
              </w:rPr>
              <w:t>Garantía a Primer Requerimiento</w:t>
            </w:r>
            <w:r w:rsidRPr="00AD178D">
              <w:rPr>
                <w:rFonts w:asciiTheme="minorHAnsi" w:hAnsiTheme="minorHAnsi" w:cs="Calibri"/>
                <w:snapToGrid w:val="0"/>
                <w:sz w:val="22"/>
                <w:szCs w:val="22"/>
                <w:lang w:val="es-BO"/>
              </w:rPr>
              <w:t xml:space="preserve">, emitida por una Entidad Bancaria del Estado Plurinacional de Bolivia, registrada, autorizada y bajo el control de la Autoridad de Supervisión del Sistema Financiero-ASFI,  a la orden/a favor de Yacimientos Petrolíferos Fiscales Bolivianos, con las características expresas de renovable, irrevocable y de ejecución a primer requerimiento con vigencia de </w:t>
            </w:r>
            <w:r>
              <w:rPr>
                <w:rFonts w:asciiTheme="minorHAnsi" w:hAnsiTheme="minorHAnsi" w:cs="Calibri"/>
                <w:snapToGrid w:val="0"/>
                <w:sz w:val="22"/>
                <w:szCs w:val="22"/>
                <w:lang w:val="es-BO"/>
              </w:rPr>
              <w:t>120</w:t>
            </w:r>
            <w:r w:rsidRPr="00AD178D">
              <w:rPr>
                <w:rFonts w:asciiTheme="minorHAnsi" w:hAnsiTheme="minorHAnsi" w:cs="Calibri"/>
                <w:snapToGrid w:val="0"/>
                <w:sz w:val="22"/>
                <w:szCs w:val="22"/>
                <w:lang w:val="es-BO"/>
              </w:rPr>
              <w:t xml:space="preserve">  días, </w:t>
            </w:r>
            <w:r>
              <w:rPr>
                <w:rFonts w:asciiTheme="minorHAnsi" w:hAnsiTheme="minorHAnsi"/>
                <w:sz w:val="22"/>
                <w:szCs w:val="22"/>
                <w:lang w:val="es-BO" w:eastAsia="es-BO"/>
              </w:rPr>
              <w:t>del importe</w:t>
            </w:r>
            <w:r w:rsidRPr="00CA4E1B">
              <w:rPr>
                <w:rFonts w:asciiTheme="minorHAnsi" w:hAnsiTheme="minorHAnsi"/>
                <w:sz w:val="22"/>
                <w:szCs w:val="22"/>
                <w:lang w:val="es-BO" w:eastAsia="es-BO"/>
              </w:rPr>
              <w:t xml:space="preserve"> correspondiente al 1% uno por ciento del presupuesto asignado para la Contratación.</w:t>
            </w:r>
          </w:p>
          <w:p w:rsidR="00AA306C" w:rsidRPr="00AD178D" w:rsidRDefault="00AA306C" w:rsidP="00AA306C">
            <w:pPr>
              <w:jc w:val="both"/>
              <w:rPr>
                <w:rFonts w:asciiTheme="minorHAnsi" w:hAnsiTheme="minorHAnsi" w:cs="Calibri"/>
                <w:snapToGrid w:val="0"/>
                <w:sz w:val="22"/>
                <w:szCs w:val="22"/>
                <w:lang w:val="es-BO"/>
              </w:rPr>
            </w:pPr>
          </w:p>
          <w:p w:rsidR="00AA306C" w:rsidRDefault="00AA306C" w:rsidP="00AA306C">
            <w:pPr>
              <w:jc w:val="both"/>
              <w:rPr>
                <w:rFonts w:asciiTheme="minorHAnsi" w:hAnsiTheme="minorHAnsi" w:cs="Calibri"/>
                <w:snapToGrid w:val="0"/>
                <w:sz w:val="22"/>
                <w:szCs w:val="22"/>
                <w:lang w:val="es-BO"/>
              </w:rPr>
            </w:pPr>
            <w:r w:rsidRPr="00AD178D">
              <w:rPr>
                <w:rFonts w:asciiTheme="minorHAnsi" w:hAnsiTheme="minorHAnsi" w:cs="Calibri"/>
                <w:b/>
                <w:snapToGrid w:val="0"/>
                <w:sz w:val="22"/>
                <w:szCs w:val="22"/>
                <w:lang w:val="es-BO"/>
              </w:rPr>
              <w:t>Póliza de caución a Primer requerimiento para Entidades Públicas</w:t>
            </w:r>
            <w:r w:rsidRPr="00AD178D">
              <w:rPr>
                <w:rFonts w:asciiTheme="minorHAnsi" w:hAnsiTheme="minorHAnsi" w:cs="Calibri"/>
                <w:snapToGrid w:val="0"/>
                <w:sz w:val="22"/>
                <w:szCs w:val="22"/>
                <w:lang w:val="es-BO"/>
              </w:rPr>
              <w:t xml:space="preserve">, emitida por una empresa aseguradora del Estado Plurinacional de Bolivia , registrada, autorizada y bajo el control de la Autoridad de Fiscalización y Control de Pensiones y Seguros a la orden/a favor de Yacimientos Petrolíferos Fiscales Bolivianos, con las características expresas de renovable, irrevocable y de ejecución a primer requerimiento con vigencia de </w:t>
            </w:r>
            <w:r>
              <w:rPr>
                <w:rFonts w:asciiTheme="minorHAnsi" w:hAnsiTheme="minorHAnsi" w:cs="Calibri"/>
                <w:snapToGrid w:val="0"/>
                <w:sz w:val="22"/>
                <w:szCs w:val="22"/>
                <w:lang w:val="es-BO"/>
              </w:rPr>
              <w:t>120</w:t>
            </w:r>
            <w:r w:rsidRPr="00AD178D">
              <w:rPr>
                <w:rFonts w:asciiTheme="minorHAnsi" w:hAnsiTheme="minorHAnsi" w:cs="Calibri"/>
                <w:snapToGrid w:val="0"/>
                <w:sz w:val="22"/>
                <w:szCs w:val="22"/>
                <w:lang w:val="es-BO"/>
              </w:rPr>
              <w:t xml:space="preserve"> días</w:t>
            </w:r>
            <w:r>
              <w:rPr>
                <w:rFonts w:asciiTheme="minorHAnsi" w:hAnsiTheme="minorHAnsi" w:cs="Calibri"/>
                <w:snapToGrid w:val="0"/>
                <w:sz w:val="22"/>
                <w:szCs w:val="22"/>
                <w:lang w:val="es-BO"/>
              </w:rPr>
              <w:t xml:space="preserve"> calendario</w:t>
            </w:r>
            <w:r w:rsidRPr="00AD178D">
              <w:rPr>
                <w:rFonts w:asciiTheme="minorHAnsi" w:hAnsiTheme="minorHAnsi" w:cs="Calibri"/>
                <w:snapToGrid w:val="0"/>
                <w:sz w:val="22"/>
                <w:szCs w:val="22"/>
                <w:lang w:val="es-BO"/>
              </w:rPr>
              <w:t xml:space="preserve"> a contar de la fecha prevista para la presentación de propuestas y </w:t>
            </w:r>
            <w:r>
              <w:rPr>
                <w:rFonts w:asciiTheme="minorHAnsi" w:hAnsiTheme="minorHAnsi"/>
                <w:sz w:val="22"/>
                <w:szCs w:val="22"/>
                <w:lang w:val="es-BO" w:eastAsia="es-BO"/>
              </w:rPr>
              <w:t>del importe</w:t>
            </w:r>
            <w:r w:rsidRPr="00CA4E1B">
              <w:rPr>
                <w:rFonts w:asciiTheme="minorHAnsi" w:hAnsiTheme="minorHAnsi"/>
                <w:sz w:val="22"/>
                <w:szCs w:val="22"/>
                <w:lang w:val="es-BO" w:eastAsia="es-BO"/>
              </w:rPr>
              <w:t xml:space="preserve"> correspondiente al 1% uno por ciento del presupuesto asignado para la Contratación.</w:t>
            </w:r>
          </w:p>
          <w:p w:rsidR="00AA306C" w:rsidRDefault="00AA306C" w:rsidP="00AA306C">
            <w:pPr>
              <w:jc w:val="both"/>
              <w:rPr>
                <w:rFonts w:asciiTheme="minorHAnsi" w:hAnsiTheme="minorHAnsi" w:cs="Calibri"/>
                <w:snapToGrid w:val="0"/>
                <w:sz w:val="22"/>
                <w:szCs w:val="22"/>
                <w:lang w:val="es-BO"/>
              </w:rPr>
            </w:pPr>
          </w:p>
          <w:p w:rsidR="00AA306C" w:rsidRPr="00547730" w:rsidRDefault="00AA306C" w:rsidP="00AA306C">
            <w:pPr>
              <w:jc w:val="both"/>
              <w:rPr>
                <w:rFonts w:ascii="Verdana" w:hAnsi="Verdana" w:cs="Calibri"/>
                <w:b/>
                <w:snapToGrid w:val="0"/>
                <w:sz w:val="18"/>
                <w:szCs w:val="18"/>
              </w:rPr>
            </w:pPr>
            <w:r w:rsidRPr="00547730">
              <w:rPr>
                <w:rFonts w:ascii="Verdana" w:hAnsi="Verdana" w:cs="Calibri"/>
                <w:b/>
                <w:snapToGrid w:val="0"/>
                <w:sz w:val="18"/>
                <w:szCs w:val="18"/>
              </w:rPr>
              <w:t>GARANTÍA DE CUMPLIMIENTO DE CONTRATO</w:t>
            </w:r>
            <w:r w:rsidRPr="00547730">
              <w:rPr>
                <w:rFonts w:ascii="Verdana" w:hAnsi="Verdana" w:cs="Calibri"/>
                <w:snapToGrid w:val="0"/>
                <w:sz w:val="18"/>
                <w:szCs w:val="18"/>
              </w:rPr>
              <w:t xml:space="preserve"> </w:t>
            </w:r>
            <w:r w:rsidRPr="00547730">
              <w:rPr>
                <w:rFonts w:ascii="Verdana" w:hAnsi="Verdana" w:cs="Calibri"/>
                <w:b/>
                <w:snapToGrid w:val="0"/>
                <w:sz w:val="18"/>
                <w:szCs w:val="18"/>
              </w:rPr>
              <w:t>PARA ADJUDICADOS</w:t>
            </w:r>
          </w:p>
          <w:p w:rsidR="00AA306C" w:rsidRPr="00547730" w:rsidRDefault="00AA306C" w:rsidP="00AA306C">
            <w:pPr>
              <w:jc w:val="both"/>
              <w:rPr>
                <w:rFonts w:ascii="Verdana" w:hAnsi="Verdana" w:cs="Calibri"/>
                <w:snapToGrid w:val="0"/>
                <w:sz w:val="18"/>
                <w:szCs w:val="18"/>
              </w:rPr>
            </w:pPr>
          </w:p>
          <w:p w:rsidR="00AA306C" w:rsidRPr="00547730" w:rsidRDefault="00AA306C" w:rsidP="00AA306C">
            <w:pPr>
              <w:jc w:val="both"/>
              <w:rPr>
                <w:rFonts w:ascii="Verdana" w:hAnsi="Verdana" w:cs="Calibri"/>
                <w:snapToGrid w:val="0"/>
                <w:sz w:val="18"/>
                <w:szCs w:val="18"/>
              </w:rPr>
            </w:pPr>
            <w:r w:rsidRPr="00547730">
              <w:rPr>
                <w:rFonts w:ascii="Verdana" w:hAnsi="Verdana" w:cs="Calibri"/>
                <w:snapToGrid w:val="0"/>
                <w:sz w:val="18"/>
                <w:szCs w:val="18"/>
              </w:rPr>
              <w:t>De a</w:t>
            </w:r>
            <w:r>
              <w:rPr>
                <w:rFonts w:ascii="Verdana" w:hAnsi="Verdana" w:cs="Calibri"/>
                <w:snapToGrid w:val="0"/>
                <w:sz w:val="18"/>
                <w:szCs w:val="18"/>
              </w:rPr>
              <w:t>cuerdo al importe Adjudicado la Empresa</w:t>
            </w:r>
            <w:r w:rsidRPr="00547730">
              <w:rPr>
                <w:rFonts w:ascii="Verdana" w:hAnsi="Verdana" w:cs="Calibri"/>
                <w:snapToGrid w:val="0"/>
                <w:sz w:val="18"/>
                <w:szCs w:val="18"/>
              </w:rPr>
              <w:t xml:space="preserve"> presenta las garantías de cumplimiento de contrato bajo los siguientes parámetros:</w:t>
            </w:r>
          </w:p>
          <w:p w:rsidR="00AA306C" w:rsidRDefault="00AA306C" w:rsidP="00AA306C">
            <w:pPr>
              <w:jc w:val="both"/>
              <w:rPr>
                <w:rFonts w:ascii="Verdana" w:hAnsi="Verdana" w:cs="Calibri"/>
                <w:snapToGrid w:val="0"/>
                <w:sz w:val="18"/>
                <w:szCs w:val="18"/>
              </w:rPr>
            </w:pPr>
          </w:p>
          <w:p w:rsidR="00AA306C" w:rsidRDefault="00AA306C" w:rsidP="00AA306C">
            <w:pPr>
              <w:jc w:val="both"/>
              <w:rPr>
                <w:rFonts w:ascii="Verdana" w:hAnsi="Verdana" w:cs="Calibri"/>
                <w:snapToGrid w:val="0"/>
                <w:sz w:val="18"/>
                <w:szCs w:val="18"/>
              </w:rPr>
            </w:pPr>
            <w:r w:rsidRPr="00AD178D">
              <w:rPr>
                <w:rFonts w:ascii="Verdana" w:hAnsi="Verdana" w:cs="Calibri"/>
                <w:b/>
                <w:snapToGrid w:val="0"/>
                <w:sz w:val="18"/>
                <w:szCs w:val="18"/>
              </w:rPr>
              <w:t>Boleta de Garantía,</w:t>
            </w:r>
            <w:r w:rsidRPr="00AD178D">
              <w:rPr>
                <w:rFonts w:ascii="Verdana" w:hAnsi="Verdana" w:cs="Calibri"/>
                <w:snapToGrid w:val="0"/>
                <w:sz w:val="18"/>
                <w:szCs w:val="18"/>
              </w:rPr>
              <w:t xml:space="preserve"> emitida por una Entidad Bancaria del Estado Plurinacional de Bolivia, registrada, autorizada y bajo el control de la Autoridad de Supervisión del Sistema Financiero-ASFI, a la orden/a favor de Yacimientos Petrolíferos Fiscales Bolivianos, con características expresas de renovable, irrevocable y de ejecución inmediata con vigencia de </w:t>
            </w:r>
            <w:r>
              <w:rPr>
                <w:rFonts w:ascii="Verdana" w:hAnsi="Verdana" w:cs="Calibri"/>
                <w:snapToGrid w:val="0"/>
                <w:sz w:val="18"/>
                <w:szCs w:val="18"/>
              </w:rPr>
              <w:t>60</w:t>
            </w:r>
            <w:r w:rsidRPr="00AD178D">
              <w:rPr>
                <w:rFonts w:ascii="Verdana" w:hAnsi="Verdana" w:cs="Calibri"/>
                <w:snapToGrid w:val="0"/>
                <w:sz w:val="18"/>
                <w:szCs w:val="18"/>
              </w:rPr>
              <w:t xml:space="preserve"> días calendario adicionales a la vigencia del contrato, </w:t>
            </w:r>
            <w:r>
              <w:rPr>
                <w:rFonts w:ascii="Verdana" w:hAnsi="Verdana" w:cs="Calibri"/>
                <w:snapToGrid w:val="0"/>
                <w:sz w:val="18"/>
                <w:szCs w:val="18"/>
              </w:rPr>
              <w:t>del importe correspondiente al 7% del presupuesto adjudicado de la contratación</w:t>
            </w:r>
            <w:r w:rsidRPr="00AD178D">
              <w:rPr>
                <w:rFonts w:ascii="Verdana" w:hAnsi="Verdana" w:cs="Calibri"/>
                <w:snapToGrid w:val="0"/>
                <w:sz w:val="18"/>
                <w:szCs w:val="18"/>
              </w:rPr>
              <w:t>.</w:t>
            </w:r>
          </w:p>
          <w:p w:rsidR="00AA306C" w:rsidRDefault="00AA306C" w:rsidP="00AA306C">
            <w:pPr>
              <w:jc w:val="both"/>
              <w:rPr>
                <w:rFonts w:ascii="Verdana" w:hAnsi="Verdana" w:cs="Calibri"/>
                <w:snapToGrid w:val="0"/>
                <w:sz w:val="18"/>
                <w:szCs w:val="18"/>
              </w:rPr>
            </w:pPr>
          </w:p>
          <w:p w:rsidR="00AA306C" w:rsidRDefault="00AA306C" w:rsidP="00AA306C">
            <w:pPr>
              <w:jc w:val="both"/>
              <w:rPr>
                <w:rFonts w:ascii="Verdana" w:hAnsi="Verdana" w:cs="Calibri"/>
                <w:snapToGrid w:val="0"/>
                <w:sz w:val="18"/>
                <w:szCs w:val="18"/>
              </w:rPr>
            </w:pPr>
            <w:r w:rsidRPr="00AD178D">
              <w:rPr>
                <w:rFonts w:ascii="Verdana" w:hAnsi="Verdana" w:cs="Calibri"/>
                <w:b/>
                <w:snapToGrid w:val="0"/>
                <w:sz w:val="18"/>
                <w:szCs w:val="18"/>
              </w:rPr>
              <w:t>Garantía a Primer Requerimiento,</w:t>
            </w:r>
            <w:r w:rsidRPr="00AD178D">
              <w:rPr>
                <w:rFonts w:ascii="Verdana" w:hAnsi="Verdana" w:cs="Calibri"/>
                <w:snapToGrid w:val="0"/>
                <w:sz w:val="18"/>
                <w:szCs w:val="18"/>
              </w:rPr>
              <w:t xml:space="preserve"> emitida por una Entidad Bancaria del Estado Plurinacional de Bolivia, registrada, autorizada y bajo el control de la Autoridad de Supervisión del Sistema Financiero-ASFI, a la orden/a favor de Yacimientos Petrolíferos Fiscales Bolivianos, con características expresas de renovable, irrevocable y de ejecución a primer requerimiento con vigencia de</w:t>
            </w:r>
            <w:r>
              <w:rPr>
                <w:rFonts w:ascii="Verdana" w:hAnsi="Verdana" w:cs="Calibri"/>
                <w:snapToGrid w:val="0"/>
                <w:sz w:val="18"/>
                <w:szCs w:val="18"/>
              </w:rPr>
              <w:t xml:space="preserve"> 60</w:t>
            </w:r>
            <w:r w:rsidRPr="00AD178D">
              <w:rPr>
                <w:rFonts w:ascii="Verdana" w:hAnsi="Verdana" w:cs="Calibri"/>
                <w:snapToGrid w:val="0"/>
                <w:sz w:val="18"/>
                <w:szCs w:val="18"/>
              </w:rPr>
              <w:t xml:space="preserve"> días calendario adicionales a la vigencia del contrato, </w:t>
            </w:r>
            <w:r>
              <w:rPr>
                <w:rFonts w:ascii="Verdana" w:hAnsi="Verdana" w:cs="Calibri"/>
                <w:snapToGrid w:val="0"/>
                <w:sz w:val="18"/>
                <w:szCs w:val="18"/>
              </w:rPr>
              <w:t>del importe correspondiente al 7% del presupuesto adjudicado de la contratación</w:t>
            </w:r>
            <w:r w:rsidRPr="00AD178D">
              <w:rPr>
                <w:rFonts w:ascii="Verdana" w:hAnsi="Verdana" w:cs="Calibri"/>
                <w:snapToGrid w:val="0"/>
                <w:sz w:val="18"/>
                <w:szCs w:val="18"/>
              </w:rPr>
              <w:t>.</w:t>
            </w:r>
          </w:p>
          <w:p w:rsidR="00AA306C" w:rsidRDefault="00AA306C" w:rsidP="00AA306C">
            <w:pPr>
              <w:jc w:val="both"/>
              <w:rPr>
                <w:rFonts w:ascii="Verdana" w:hAnsi="Verdana" w:cs="Calibri"/>
                <w:snapToGrid w:val="0"/>
                <w:sz w:val="18"/>
                <w:szCs w:val="18"/>
              </w:rPr>
            </w:pPr>
          </w:p>
          <w:p w:rsidR="00AA306C" w:rsidRDefault="00AA306C" w:rsidP="00AA306C">
            <w:pPr>
              <w:jc w:val="both"/>
              <w:rPr>
                <w:rFonts w:ascii="Verdana" w:hAnsi="Verdana" w:cs="Calibri"/>
                <w:snapToGrid w:val="0"/>
                <w:sz w:val="18"/>
                <w:szCs w:val="18"/>
              </w:rPr>
            </w:pPr>
            <w:r w:rsidRPr="00AD178D">
              <w:rPr>
                <w:rFonts w:ascii="Verdana" w:hAnsi="Verdana" w:cs="Calibri"/>
                <w:b/>
                <w:snapToGrid w:val="0"/>
                <w:sz w:val="18"/>
                <w:szCs w:val="18"/>
              </w:rPr>
              <w:t>Póliza de caución a Primer requerimiento para Entidades Públicas</w:t>
            </w:r>
            <w:r w:rsidRPr="00AD178D">
              <w:rPr>
                <w:rFonts w:ascii="Verdana" w:hAnsi="Verdana" w:cs="Calibri"/>
                <w:snapToGrid w:val="0"/>
                <w:sz w:val="18"/>
                <w:szCs w:val="18"/>
              </w:rPr>
              <w:t>, emitida por una empresa aseguradora del Estado Plurinacional de Bolivia , registrada, autorizada y bajo el control de la Autoridad de Fiscalización y Control de Pensiones y Seguros a la orden/a favor de Yacimientos Petrolíferos Fiscales Bolivianos, con las características expresas de renovable, irrevocable y de ejecución a primer</w:t>
            </w:r>
            <w:r>
              <w:rPr>
                <w:rFonts w:ascii="Verdana" w:hAnsi="Verdana" w:cs="Calibri"/>
                <w:snapToGrid w:val="0"/>
                <w:sz w:val="18"/>
                <w:szCs w:val="18"/>
              </w:rPr>
              <w:t xml:space="preserve"> requerimiento con vigencia de 60</w:t>
            </w:r>
            <w:r w:rsidRPr="00AD178D">
              <w:rPr>
                <w:rFonts w:ascii="Verdana" w:hAnsi="Verdana" w:cs="Calibri"/>
                <w:snapToGrid w:val="0"/>
                <w:sz w:val="18"/>
                <w:szCs w:val="18"/>
              </w:rPr>
              <w:t xml:space="preserve"> días calendario adicionales </w:t>
            </w:r>
            <w:r w:rsidRPr="00AD178D">
              <w:rPr>
                <w:rFonts w:ascii="Verdana" w:hAnsi="Verdana" w:cs="Calibri"/>
                <w:snapToGrid w:val="0"/>
                <w:sz w:val="18"/>
                <w:szCs w:val="18"/>
              </w:rPr>
              <w:lastRenderedPageBreak/>
              <w:t xml:space="preserve">a la vigencia del contrato, </w:t>
            </w:r>
            <w:r>
              <w:rPr>
                <w:rFonts w:ascii="Verdana" w:hAnsi="Verdana" w:cs="Calibri"/>
                <w:snapToGrid w:val="0"/>
                <w:sz w:val="18"/>
                <w:szCs w:val="18"/>
              </w:rPr>
              <w:t>del importe correspondiente al 7% del presupuesto adjudicado de la contratación</w:t>
            </w:r>
            <w:r w:rsidRPr="00AD178D">
              <w:rPr>
                <w:rFonts w:ascii="Verdana" w:hAnsi="Verdana" w:cs="Calibri"/>
                <w:snapToGrid w:val="0"/>
                <w:sz w:val="18"/>
                <w:szCs w:val="18"/>
              </w:rPr>
              <w:t>.</w:t>
            </w:r>
          </w:p>
          <w:p w:rsidR="000D1E5F" w:rsidRDefault="000D1E5F" w:rsidP="00AA306C">
            <w:pPr>
              <w:jc w:val="both"/>
              <w:rPr>
                <w:rFonts w:ascii="Verdana" w:hAnsi="Verdana" w:cs="Calibri"/>
                <w:snapToGrid w:val="0"/>
                <w:sz w:val="18"/>
                <w:szCs w:val="18"/>
              </w:rPr>
            </w:pPr>
            <w:bookmarkStart w:id="0" w:name="_GoBack"/>
            <w:bookmarkEnd w:id="0"/>
          </w:p>
          <w:p w:rsidR="00AA306C" w:rsidRPr="00547730" w:rsidRDefault="00AA306C" w:rsidP="00AA306C">
            <w:pPr>
              <w:jc w:val="both"/>
              <w:rPr>
                <w:rFonts w:ascii="Verdana" w:hAnsi="Verdana" w:cs="Calibri"/>
                <w:snapToGrid w:val="0"/>
                <w:sz w:val="18"/>
                <w:szCs w:val="18"/>
              </w:rPr>
            </w:pPr>
            <w:r w:rsidRPr="00616036">
              <w:rPr>
                <w:rFonts w:ascii="Verdana" w:hAnsi="Verdana" w:cs="Calibri"/>
                <w:b/>
                <w:snapToGrid w:val="0"/>
                <w:sz w:val="18"/>
                <w:szCs w:val="18"/>
              </w:rPr>
              <w:t>Retenciones</w:t>
            </w:r>
            <w:r w:rsidRPr="00616036">
              <w:rPr>
                <w:rFonts w:ascii="Verdana" w:hAnsi="Verdana" w:cs="Calibri"/>
                <w:snapToGrid w:val="0"/>
                <w:sz w:val="18"/>
                <w:szCs w:val="18"/>
              </w:rPr>
              <w:t>, el proponente podrá solicitar expresamente a Yacimientos Petrolíferos Fiscales Bolivianos, la retención del 7% de cada pago parcial recibido</w:t>
            </w:r>
            <w:r>
              <w:rPr>
                <w:rFonts w:ascii="Verdana" w:hAnsi="Verdana" w:cs="Calibri"/>
                <w:snapToGrid w:val="0"/>
                <w:sz w:val="18"/>
                <w:szCs w:val="18"/>
              </w:rPr>
              <w:t>.</w:t>
            </w:r>
          </w:p>
          <w:p w:rsidR="00DF32F7" w:rsidRPr="001C7B54" w:rsidRDefault="00DF32F7" w:rsidP="00D42ADC">
            <w:pPr>
              <w:spacing w:after="120"/>
              <w:ind w:left="720"/>
              <w:jc w:val="both"/>
              <w:rPr>
                <w:rFonts w:ascii="Verdana" w:hAnsi="Verdana" w:cs="Calibri"/>
                <w:sz w:val="18"/>
                <w:szCs w:val="18"/>
              </w:rPr>
            </w:pPr>
          </w:p>
        </w:tc>
      </w:tr>
    </w:tbl>
    <w:p w:rsidR="00AA306C" w:rsidRDefault="00AA306C" w:rsidP="00D97B74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AA306C" w:rsidRDefault="00AA306C" w:rsidP="00D97B74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AA306C" w:rsidRDefault="00AA306C" w:rsidP="00D97B74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AA306C" w:rsidRDefault="00AA306C" w:rsidP="00D97B74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AA306C" w:rsidRDefault="00AA306C" w:rsidP="00D97B74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AA306C" w:rsidRDefault="00AA306C" w:rsidP="00D97B74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AA306C" w:rsidRDefault="00AA306C" w:rsidP="00D97B74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AA306C" w:rsidRDefault="00AA306C" w:rsidP="00D97B74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AA306C" w:rsidRDefault="00AA306C" w:rsidP="00D97B74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AA306C" w:rsidRDefault="00AA306C" w:rsidP="00D97B74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AA306C" w:rsidRDefault="00AA306C" w:rsidP="00D97B74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AA306C" w:rsidRDefault="00AA306C" w:rsidP="00D97B74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AA306C" w:rsidRDefault="00AA306C" w:rsidP="00D97B74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AA306C" w:rsidRDefault="00AA306C" w:rsidP="00D97B74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AA306C" w:rsidRDefault="00AA306C" w:rsidP="00D97B74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AA306C" w:rsidRDefault="00AA306C" w:rsidP="00D97B74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AA306C" w:rsidRDefault="00AA306C" w:rsidP="00D97B74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AA306C" w:rsidRDefault="00AA306C" w:rsidP="00D97B74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AA306C" w:rsidRDefault="00AA306C" w:rsidP="00D97B74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AA306C" w:rsidRDefault="00AA306C" w:rsidP="00D97B74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AA306C" w:rsidRDefault="00AA306C" w:rsidP="00D97B74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AA306C" w:rsidRDefault="00AA306C" w:rsidP="00D97B74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AA306C" w:rsidRDefault="00AA306C" w:rsidP="00D97B74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AA306C" w:rsidRDefault="00AA306C" w:rsidP="00D97B74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BA14D5" w:rsidRDefault="00BA14D5" w:rsidP="00D97B74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BA14D5" w:rsidRDefault="00BA14D5" w:rsidP="00D97B74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AA306C" w:rsidRDefault="00AA306C" w:rsidP="00D97B74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AA306C" w:rsidRDefault="00AA306C" w:rsidP="00D97B74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AA306C" w:rsidRDefault="00AA306C" w:rsidP="00D97B74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D97B74" w:rsidRPr="00767FD8" w:rsidRDefault="00D97B74" w:rsidP="00D97B74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767FD8">
        <w:rPr>
          <w:rFonts w:ascii="Arial" w:hAnsi="Arial" w:cs="Arial"/>
          <w:b/>
          <w:bCs/>
          <w:sz w:val="20"/>
          <w:szCs w:val="20"/>
        </w:rPr>
        <w:t>INSTRUCCIONES PARA LA EMISION DE INSTRUMENTOS FINANCIEROS</w:t>
      </w:r>
    </w:p>
    <w:p w:rsidR="00D97B74" w:rsidRPr="00767FD8" w:rsidRDefault="00D97B74" w:rsidP="00D97B74">
      <w:pPr>
        <w:jc w:val="both"/>
        <w:rPr>
          <w:rFonts w:ascii="Arial" w:hAnsi="Arial" w:cs="Arial"/>
          <w:sz w:val="20"/>
          <w:szCs w:val="20"/>
        </w:rPr>
      </w:pPr>
      <w:r w:rsidRPr="00767FD8">
        <w:rPr>
          <w:rFonts w:ascii="Arial" w:hAnsi="Arial" w:cs="Arial"/>
          <w:sz w:val="20"/>
          <w:szCs w:val="20"/>
        </w:rPr>
        <w:t xml:space="preserve">El Proponente o Adjudicado deberá solicitar o instruir a la entidad de intermediación financiera bancaría, el correcto registro de datos o información en los Instrumentos Financieros de Garantía requeridos, </w:t>
      </w:r>
      <w:r w:rsidRPr="00767FD8">
        <w:rPr>
          <w:rFonts w:ascii="Arial" w:hAnsi="Arial" w:cs="Arial"/>
          <w:sz w:val="20"/>
          <w:szCs w:val="20"/>
          <w:u w:val="single"/>
        </w:rPr>
        <w:t>cumpliendo obligatoriamente</w:t>
      </w:r>
      <w:r w:rsidRPr="00767FD8">
        <w:rPr>
          <w:rFonts w:ascii="Arial" w:hAnsi="Arial" w:cs="Arial"/>
          <w:sz w:val="20"/>
          <w:szCs w:val="20"/>
        </w:rPr>
        <w:t xml:space="preserve"> con las siguientes condiciones: </w:t>
      </w:r>
    </w:p>
    <w:tbl>
      <w:tblPr>
        <w:tblW w:w="9022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5"/>
        <w:gridCol w:w="6197"/>
      </w:tblGrid>
      <w:tr w:rsidR="00D97B74" w:rsidRPr="00767FD8" w:rsidTr="00164277">
        <w:tc>
          <w:tcPr>
            <w:tcW w:w="2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B74" w:rsidRPr="00767FD8" w:rsidRDefault="00D97B74" w:rsidP="00164277">
            <w:pPr>
              <w:pStyle w:val="Prrafodelista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767FD8">
              <w:rPr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61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B74" w:rsidRPr="00767FD8" w:rsidRDefault="00D97B74" w:rsidP="00164277">
            <w:pPr>
              <w:pStyle w:val="Prrafodelista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767FD8">
              <w:rPr>
                <w:b/>
                <w:bCs/>
                <w:sz w:val="20"/>
                <w:szCs w:val="20"/>
              </w:rPr>
              <w:t>INSTRUCCIÓN</w:t>
            </w:r>
          </w:p>
        </w:tc>
      </w:tr>
      <w:tr w:rsidR="00D97B74" w:rsidRPr="00767FD8" w:rsidTr="00164277"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7B74" w:rsidRPr="00767FD8" w:rsidRDefault="00D97B74" w:rsidP="00164277">
            <w:pPr>
              <w:pStyle w:val="Prrafodelista"/>
              <w:ind w:left="0"/>
              <w:rPr>
                <w:b/>
                <w:bCs/>
                <w:sz w:val="20"/>
                <w:szCs w:val="20"/>
              </w:rPr>
            </w:pPr>
            <w:r w:rsidRPr="00767FD8">
              <w:rPr>
                <w:b/>
                <w:bCs/>
                <w:sz w:val="20"/>
                <w:szCs w:val="20"/>
              </w:rPr>
              <w:lastRenderedPageBreak/>
              <w:t>INSTRUMENTO DE GARANTIA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B74" w:rsidRPr="00767FD8" w:rsidRDefault="00D97B74" w:rsidP="00164277">
            <w:pPr>
              <w:jc w:val="both"/>
              <w:rPr>
                <w:rStyle w:val="nfasis"/>
                <w:sz w:val="20"/>
                <w:szCs w:val="20"/>
              </w:rPr>
            </w:pPr>
            <w:r w:rsidRPr="00767FD8">
              <w:rPr>
                <w:rFonts w:ascii="Arial" w:hAnsi="Arial" w:cs="Arial"/>
                <w:sz w:val="20"/>
                <w:szCs w:val="20"/>
              </w:rPr>
              <w:t xml:space="preserve">Se aceptará </w:t>
            </w:r>
            <w:r w:rsidRPr="00767FD8">
              <w:rPr>
                <w:rFonts w:ascii="Arial" w:hAnsi="Arial" w:cs="Arial"/>
                <w:sz w:val="20"/>
                <w:szCs w:val="20"/>
                <w:u w:val="single"/>
              </w:rPr>
              <w:t>únicamente</w:t>
            </w:r>
            <w:r w:rsidRPr="00767FD8">
              <w:rPr>
                <w:rFonts w:ascii="Arial" w:hAnsi="Arial" w:cs="Arial"/>
                <w:sz w:val="20"/>
                <w:szCs w:val="20"/>
              </w:rPr>
              <w:t xml:space="preserve"> los instrumentos detallados en el presente anexo.</w:t>
            </w:r>
          </w:p>
        </w:tc>
      </w:tr>
      <w:tr w:rsidR="00D97B74" w:rsidRPr="00767FD8" w:rsidTr="00164277"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7B74" w:rsidRPr="00767FD8" w:rsidRDefault="00D97B74" w:rsidP="00164277">
            <w:pPr>
              <w:pStyle w:val="Prrafodelista"/>
              <w:ind w:left="0"/>
              <w:rPr>
                <w:b/>
                <w:bCs/>
                <w:sz w:val="20"/>
                <w:szCs w:val="20"/>
              </w:rPr>
            </w:pPr>
            <w:r w:rsidRPr="00767FD8">
              <w:rPr>
                <w:b/>
                <w:bCs/>
                <w:sz w:val="20"/>
                <w:szCs w:val="20"/>
              </w:rPr>
              <w:t>OBJETO DE LA GARANTÍA</w:t>
            </w:r>
          </w:p>
          <w:p w:rsidR="00D97B74" w:rsidRPr="00767FD8" w:rsidRDefault="00D97B74" w:rsidP="00164277">
            <w:pPr>
              <w:pStyle w:val="Prrafodelista"/>
              <w:ind w:left="0"/>
              <w:rPr>
                <w:rFonts w:ascii="Arial" w:hAnsi="Arial"/>
                <w:i/>
                <w:sz w:val="20"/>
                <w:szCs w:val="20"/>
              </w:rPr>
            </w:pPr>
            <w:r w:rsidRPr="00767FD8">
              <w:rPr>
                <w:b/>
                <w:bCs/>
                <w:sz w:val="20"/>
                <w:szCs w:val="20"/>
              </w:rPr>
              <w:t xml:space="preserve"> (“Para Garantizar:”)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B74" w:rsidRPr="00767FD8" w:rsidRDefault="00D97B74" w:rsidP="001642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7FD8">
              <w:rPr>
                <w:rFonts w:ascii="Arial" w:hAnsi="Arial" w:cs="Arial"/>
                <w:sz w:val="20"/>
                <w:szCs w:val="20"/>
              </w:rPr>
              <w:t xml:space="preserve">Debe consignar correctamente y de manera explícita, textual y completa: </w:t>
            </w:r>
          </w:p>
          <w:p w:rsidR="00D97B74" w:rsidRPr="00767FD8" w:rsidRDefault="00D97B74" w:rsidP="00D97B74">
            <w:pPr>
              <w:numPr>
                <w:ilvl w:val="0"/>
                <w:numId w:val="17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7FD8">
              <w:rPr>
                <w:rFonts w:ascii="Arial" w:hAnsi="Arial" w:cs="Arial"/>
                <w:sz w:val="20"/>
                <w:szCs w:val="20"/>
              </w:rPr>
              <w:t>Objeto a garantizar conforme lo requerido en el presente anexo.</w:t>
            </w:r>
          </w:p>
          <w:p w:rsidR="00D97B74" w:rsidRPr="00767FD8" w:rsidRDefault="00D97B74" w:rsidP="00D97B74">
            <w:pPr>
              <w:numPr>
                <w:ilvl w:val="0"/>
                <w:numId w:val="17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7FD8">
              <w:rPr>
                <w:rFonts w:ascii="Arial" w:hAnsi="Arial" w:cs="Arial"/>
                <w:sz w:val="20"/>
                <w:szCs w:val="20"/>
              </w:rPr>
              <w:t>Nombre del proceso de contratación, conforme al registrado en la carátula del DBC.</w:t>
            </w:r>
          </w:p>
          <w:p w:rsidR="00D97B74" w:rsidRPr="00767FD8" w:rsidRDefault="00D97B74" w:rsidP="00D97B74">
            <w:pPr>
              <w:numPr>
                <w:ilvl w:val="0"/>
                <w:numId w:val="17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7FD8">
              <w:rPr>
                <w:rFonts w:ascii="Arial" w:hAnsi="Arial" w:cs="Arial"/>
                <w:sz w:val="20"/>
                <w:szCs w:val="20"/>
              </w:rPr>
              <w:t>Código del Proceso de contratación: conforme al registrado en la carátula del DBC.</w:t>
            </w:r>
          </w:p>
        </w:tc>
      </w:tr>
      <w:tr w:rsidR="00D97B74" w:rsidRPr="00767FD8" w:rsidTr="00164277"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7B74" w:rsidRPr="00767FD8" w:rsidRDefault="00D97B74" w:rsidP="00164277">
            <w:pPr>
              <w:pStyle w:val="Prrafodelista"/>
              <w:ind w:left="0"/>
              <w:rPr>
                <w:b/>
                <w:bCs/>
                <w:sz w:val="20"/>
                <w:szCs w:val="20"/>
              </w:rPr>
            </w:pPr>
            <w:r w:rsidRPr="00767FD8">
              <w:rPr>
                <w:b/>
                <w:bCs/>
                <w:sz w:val="20"/>
                <w:szCs w:val="20"/>
              </w:rPr>
              <w:t xml:space="preserve">NOMBRE, RAZÓN SOCIAL O DENOMINACIÓN DEL ORDENANTE 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B74" w:rsidRPr="00767FD8" w:rsidRDefault="00D97B74" w:rsidP="001642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7FD8">
              <w:rPr>
                <w:rFonts w:ascii="Arial" w:hAnsi="Arial" w:cs="Arial"/>
                <w:sz w:val="20"/>
                <w:szCs w:val="20"/>
              </w:rPr>
              <w:t xml:space="preserve">Debe consignar el nombre plenamente concordante con el registrado en los siguientes documentos en orden de prelación, según corresponda al documento requerido en el DBC: </w:t>
            </w:r>
          </w:p>
          <w:p w:rsidR="00D97B74" w:rsidRPr="00767FD8" w:rsidRDefault="00D97B74" w:rsidP="00D97B74">
            <w:pPr>
              <w:numPr>
                <w:ilvl w:val="0"/>
                <w:numId w:val="18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7FD8">
              <w:rPr>
                <w:rFonts w:ascii="Arial" w:hAnsi="Arial" w:cs="Arial"/>
                <w:sz w:val="20"/>
                <w:szCs w:val="20"/>
              </w:rPr>
              <w:t>Matrícula de Comercio FUNDEMPRESA, priori (o equivalente en el país de origen); o</w:t>
            </w:r>
          </w:p>
          <w:p w:rsidR="00D97B74" w:rsidRPr="00767FD8" w:rsidRDefault="00D97B74" w:rsidP="00D97B74">
            <w:pPr>
              <w:numPr>
                <w:ilvl w:val="0"/>
                <w:numId w:val="18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7FD8">
              <w:rPr>
                <w:rFonts w:ascii="Arial" w:hAnsi="Arial" w:cs="Arial"/>
                <w:sz w:val="20"/>
                <w:szCs w:val="20"/>
              </w:rPr>
              <w:t>Número de Identificación Tributaria – NIT (o equivalente en el país de origen); o</w:t>
            </w:r>
          </w:p>
          <w:p w:rsidR="00D97B74" w:rsidRPr="00767FD8" w:rsidRDefault="00D97B74" w:rsidP="00D97B74">
            <w:pPr>
              <w:numPr>
                <w:ilvl w:val="0"/>
                <w:numId w:val="18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7FD8">
              <w:rPr>
                <w:rFonts w:ascii="Arial" w:hAnsi="Arial" w:cs="Arial"/>
                <w:sz w:val="20"/>
                <w:szCs w:val="20"/>
              </w:rPr>
              <w:t xml:space="preserve">Documento de Acta de Constitución. </w:t>
            </w:r>
          </w:p>
        </w:tc>
      </w:tr>
      <w:tr w:rsidR="00D97B74" w:rsidRPr="00767FD8" w:rsidTr="00164277"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7B74" w:rsidRPr="00767FD8" w:rsidRDefault="00D97B74" w:rsidP="00164277">
            <w:pPr>
              <w:pStyle w:val="Prrafodelista"/>
              <w:ind w:left="0"/>
              <w:rPr>
                <w:b/>
                <w:bCs/>
                <w:sz w:val="20"/>
                <w:szCs w:val="20"/>
              </w:rPr>
            </w:pPr>
            <w:r w:rsidRPr="00767FD8">
              <w:rPr>
                <w:b/>
                <w:bCs/>
                <w:sz w:val="20"/>
                <w:szCs w:val="20"/>
              </w:rPr>
              <w:t>NOMBRE DEL BENEFICIARIO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B74" w:rsidRPr="00767FD8" w:rsidRDefault="00D97B74" w:rsidP="001642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7FD8">
              <w:rPr>
                <w:rFonts w:ascii="Arial" w:hAnsi="Arial" w:cs="Arial"/>
                <w:sz w:val="20"/>
                <w:szCs w:val="20"/>
              </w:rPr>
              <w:t>Debe consignar:</w:t>
            </w:r>
          </w:p>
          <w:p w:rsidR="00D97B74" w:rsidRPr="00767FD8" w:rsidRDefault="00D97B74" w:rsidP="00D97B74">
            <w:pPr>
              <w:pStyle w:val="Prrafodelista"/>
              <w:numPr>
                <w:ilvl w:val="0"/>
                <w:numId w:val="19"/>
              </w:numPr>
              <w:spacing w:line="276" w:lineRule="auto"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7FD8">
              <w:rPr>
                <w:rFonts w:ascii="Arial" w:hAnsi="Arial" w:cs="Arial"/>
                <w:sz w:val="20"/>
                <w:szCs w:val="20"/>
              </w:rPr>
              <w:t>YACIMIENTOS PETROLIFEROS FISCALES BOLIVIANOS;</w:t>
            </w:r>
          </w:p>
          <w:p w:rsidR="00D97B74" w:rsidRPr="00767FD8" w:rsidRDefault="00D97B74" w:rsidP="00D97B74">
            <w:pPr>
              <w:pStyle w:val="Prrafodelista"/>
              <w:numPr>
                <w:ilvl w:val="0"/>
                <w:numId w:val="19"/>
              </w:numPr>
              <w:spacing w:line="276" w:lineRule="auto"/>
              <w:ind w:left="357" w:hanging="357"/>
              <w:jc w:val="both"/>
              <w:rPr>
                <w:rFonts w:ascii="Arial" w:hAnsi="Arial"/>
                <w:i/>
                <w:sz w:val="20"/>
                <w:szCs w:val="20"/>
              </w:rPr>
            </w:pPr>
            <w:r w:rsidRPr="00767FD8">
              <w:rPr>
                <w:rFonts w:ascii="Arial" w:hAnsi="Arial"/>
                <w:i/>
                <w:sz w:val="20"/>
                <w:szCs w:val="20"/>
              </w:rPr>
              <w:t>YPFB;</w:t>
            </w:r>
          </w:p>
          <w:p w:rsidR="00D97B74" w:rsidRPr="00767FD8" w:rsidRDefault="00D97B74" w:rsidP="00D97B74">
            <w:pPr>
              <w:pStyle w:val="Prrafodelista"/>
              <w:numPr>
                <w:ilvl w:val="0"/>
                <w:numId w:val="19"/>
              </w:numPr>
              <w:spacing w:line="276" w:lineRule="auto"/>
              <w:ind w:left="357" w:hanging="357"/>
              <w:jc w:val="both"/>
              <w:rPr>
                <w:rFonts w:ascii="Arial" w:hAnsi="Arial"/>
                <w:i/>
                <w:sz w:val="20"/>
                <w:szCs w:val="20"/>
              </w:rPr>
            </w:pPr>
            <w:r w:rsidRPr="00767FD8">
              <w:rPr>
                <w:rFonts w:ascii="Arial" w:hAnsi="Arial"/>
                <w:i/>
                <w:sz w:val="20"/>
                <w:szCs w:val="20"/>
              </w:rPr>
              <w:t>o ambos.</w:t>
            </w:r>
          </w:p>
        </w:tc>
      </w:tr>
      <w:tr w:rsidR="00D97B74" w:rsidRPr="00767FD8" w:rsidTr="00164277"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7B74" w:rsidRPr="00767FD8" w:rsidRDefault="00D97B74" w:rsidP="00164277">
            <w:pPr>
              <w:pStyle w:val="Prrafodelista"/>
              <w:ind w:left="0"/>
              <w:rPr>
                <w:sz w:val="20"/>
                <w:szCs w:val="20"/>
              </w:rPr>
            </w:pPr>
            <w:r w:rsidRPr="00767FD8">
              <w:rPr>
                <w:b/>
                <w:bCs/>
                <w:sz w:val="20"/>
                <w:szCs w:val="20"/>
              </w:rPr>
              <w:t>MONTO GARANTIZADO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B74" w:rsidRPr="00767FD8" w:rsidRDefault="00D97B74" w:rsidP="001642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7FD8">
              <w:rPr>
                <w:rFonts w:ascii="Arial" w:hAnsi="Arial" w:cs="Arial"/>
                <w:sz w:val="20"/>
                <w:szCs w:val="20"/>
              </w:rPr>
              <w:t xml:space="preserve">Debe consignar el valor/importe/monto correctamente calculado, conforme el presente anexo y la “Garantía según el objeto” requerida, considerando el </w:t>
            </w:r>
            <w:proofErr w:type="spellStart"/>
            <w:r w:rsidRPr="00767FD8">
              <w:rPr>
                <w:rFonts w:ascii="Arial" w:hAnsi="Arial" w:cs="Arial"/>
                <w:sz w:val="20"/>
                <w:szCs w:val="20"/>
              </w:rPr>
              <w:t>inc</w:t>
            </w:r>
            <w:proofErr w:type="spellEnd"/>
            <w:r w:rsidRPr="00767FD8">
              <w:rPr>
                <w:rFonts w:ascii="Arial" w:hAnsi="Arial" w:cs="Arial"/>
                <w:sz w:val="20"/>
                <w:szCs w:val="20"/>
              </w:rPr>
              <w:t xml:space="preserve"> c) de los Aspectos Subsanables del DBC.</w:t>
            </w:r>
          </w:p>
        </w:tc>
      </w:tr>
      <w:tr w:rsidR="00D97B74" w:rsidRPr="00767FD8" w:rsidTr="00164277"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7B74" w:rsidRPr="00767FD8" w:rsidRDefault="00D97B74" w:rsidP="00164277">
            <w:pPr>
              <w:pStyle w:val="Prrafodelista"/>
              <w:ind w:left="0"/>
              <w:rPr>
                <w:sz w:val="20"/>
                <w:szCs w:val="20"/>
              </w:rPr>
            </w:pPr>
            <w:r w:rsidRPr="00767FD8">
              <w:rPr>
                <w:b/>
                <w:bCs/>
                <w:sz w:val="20"/>
                <w:szCs w:val="20"/>
              </w:rPr>
              <w:t>VIGENCIA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B74" w:rsidRPr="00767FD8" w:rsidRDefault="00D97B74" w:rsidP="001642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7FD8">
              <w:rPr>
                <w:rFonts w:ascii="Arial" w:hAnsi="Arial" w:cs="Arial"/>
                <w:sz w:val="20"/>
                <w:szCs w:val="20"/>
              </w:rPr>
              <w:t xml:space="preserve">Debe consignar una vigencia igual o mayor al requerido en el presente Anexo, </w:t>
            </w:r>
          </w:p>
          <w:p w:rsidR="00D97B74" w:rsidRPr="00767FD8" w:rsidRDefault="00D97B74" w:rsidP="00D97B74">
            <w:pPr>
              <w:numPr>
                <w:ilvl w:val="0"/>
                <w:numId w:val="2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7FD8">
              <w:rPr>
                <w:rFonts w:ascii="Arial" w:hAnsi="Arial" w:cs="Arial"/>
                <w:sz w:val="20"/>
                <w:szCs w:val="20"/>
                <w:u w:val="single"/>
              </w:rPr>
              <w:t>Para Garantía de Seriedad de Propuesta:</w:t>
            </w:r>
            <w:r w:rsidRPr="00767FD8">
              <w:rPr>
                <w:rFonts w:ascii="Arial" w:hAnsi="Arial" w:cs="Arial"/>
                <w:sz w:val="20"/>
                <w:szCs w:val="20"/>
              </w:rPr>
              <w:t xml:space="preserve"> (120 días) computable a partir de la “Fecha de presentación de propuesta”, establecido en el Cronograma de Plazos del DBC.</w:t>
            </w:r>
          </w:p>
          <w:p w:rsidR="00D97B74" w:rsidRPr="00767FD8" w:rsidRDefault="00D97B74" w:rsidP="00D97B74">
            <w:pPr>
              <w:numPr>
                <w:ilvl w:val="0"/>
                <w:numId w:val="2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7FD8">
              <w:rPr>
                <w:rFonts w:ascii="Arial" w:hAnsi="Arial" w:cs="Arial"/>
                <w:sz w:val="20"/>
                <w:szCs w:val="20"/>
                <w:u w:val="single"/>
              </w:rPr>
              <w:t>Otras garantías:</w:t>
            </w:r>
            <w:r w:rsidRPr="00767FD8">
              <w:rPr>
                <w:rFonts w:ascii="Arial" w:hAnsi="Arial" w:cs="Arial"/>
                <w:sz w:val="20"/>
                <w:szCs w:val="20"/>
              </w:rPr>
              <w:t xml:space="preserve"> conforme lo requerido en el presente anexo.</w:t>
            </w:r>
          </w:p>
          <w:p w:rsidR="00D97B74" w:rsidRPr="00767FD8" w:rsidRDefault="00D97B74" w:rsidP="001642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7FD8">
              <w:rPr>
                <w:rFonts w:ascii="Arial" w:hAnsi="Arial" w:cs="Arial"/>
                <w:sz w:val="20"/>
                <w:szCs w:val="20"/>
              </w:rPr>
              <w:t>El proponente o adjudicado, debe considerar la suficiente holgura, en previsión a posibles contingencias o desfases a presentarse en las fechas de suscripción de contratos o emisión de las órdenes o instrucciones de proceder, acta de cierre de contrato, así como de los días adicionales requeridos.</w:t>
            </w:r>
          </w:p>
        </w:tc>
      </w:tr>
      <w:tr w:rsidR="00D97B74" w:rsidRPr="00767FD8" w:rsidTr="00164277"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7B74" w:rsidRPr="00767FD8" w:rsidRDefault="00D97B74" w:rsidP="00164277">
            <w:pPr>
              <w:pStyle w:val="Prrafodelista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67FD8">
              <w:rPr>
                <w:b/>
                <w:bCs/>
                <w:sz w:val="20"/>
                <w:szCs w:val="20"/>
              </w:rPr>
              <w:t xml:space="preserve">CLÁUSULAS O CONDICIONES  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B74" w:rsidRPr="00767FD8" w:rsidRDefault="00D97B74" w:rsidP="001642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7FD8">
              <w:rPr>
                <w:rFonts w:ascii="Arial" w:hAnsi="Arial" w:cs="Arial"/>
                <w:sz w:val="20"/>
                <w:szCs w:val="20"/>
              </w:rPr>
              <w:t>Debe incluir las cláusulas de:</w:t>
            </w:r>
          </w:p>
          <w:p w:rsidR="00D97B74" w:rsidRPr="00767FD8" w:rsidRDefault="00D97B74" w:rsidP="00D97B74">
            <w:pPr>
              <w:pStyle w:val="Prrafodelista"/>
              <w:numPr>
                <w:ilvl w:val="0"/>
                <w:numId w:val="2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7FD8">
              <w:rPr>
                <w:rFonts w:ascii="Arial" w:hAnsi="Arial" w:cs="Arial"/>
                <w:sz w:val="20"/>
                <w:szCs w:val="20"/>
              </w:rPr>
              <w:t xml:space="preserve">Para Boletas de Garantía: RENOVABLE, IRREVOCABLE y </w:t>
            </w:r>
            <w:r w:rsidRPr="00767FD8">
              <w:rPr>
                <w:rFonts w:ascii="Arial" w:hAnsi="Arial" w:cs="Arial"/>
                <w:b/>
                <w:sz w:val="20"/>
                <w:szCs w:val="20"/>
                <w:u w:val="single"/>
              </w:rPr>
              <w:t>explícitamente</w:t>
            </w:r>
            <w:r w:rsidRPr="00767FD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67FD8">
              <w:rPr>
                <w:rFonts w:ascii="Arial" w:hAnsi="Arial" w:cs="Arial"/>
                <w:sz w:val="20"/>
                <w:szCs w:val="20"/>
              </w:rPr>
              <w:t>DE EJECUCIÓN INMEDIATA</w:t>
            </w:r>
          </w:p>
          <w:p w:rsidR="00D97B74" w:rsidRPr="00767FD8" w:rsidRDefault="00D97B74" w:rsidP="00D97B74">
            <w:pPr>
              <w:pStyle w:val="Prrafodelista"/>
              <w:numPr>
                <w:ilvl w:val="0"/>
                <w:numId w:val="2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7FD8">
              <w:rPr>
                <w:rFonts w:ascii="Arial" w:hAnsi="Arial" w:cs="Arial"/>
                <w:sz w:val="20"/>
                <w:szCs w:val="20"/>
              </w:rPr>
              <w:t xml:space="preserve">Para Garantías a Primer Requerimiento: RENOVABLE, IRREVOCABLE y </w:t>
            </w:r>
            <w:r w:rsidRPr="00767FD8">
              <w:rPr>
                <w:rFonts w:ascii="Arial" w:hAnsi="Arial" w:cs="Arial"/>
                <w:b/>
                <w:sz w:val="20"/>
                <w:szCs w:val="20"/>
                <w:u w:val="single"/>
              </w:rPr>
              <w:t>explícitamente</w:t>
            </w:r>
            <w:r w:rsidRPr="00767FD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67FD8">
              <w:rPr>
                <w:rFonts w:ascii="Arial" w:hAnsi="Arial" w:cs="Arial"/>
                <w:sz w:val="20"/>
                <w:szCs w:val="20"/>
              </w:rPr>
              <w:t>de EJECUCIÓN A PRIMER REQUERIMIENTO</w:t>
            </w:r>
          </w:p>
        </w:tc>
      </w:tr>
    </w:tbl>
    <w:p w:rsidR="004A5377" w:rsidRDefault="00D97B74" w:rsidP="00E877CD">
      <w:r w:rsidRPr="00767FD8">
        <w:rPr>
          <w:b/>
          <w:sz w:val="20"/>
          <w:szCs w:val="20"/>
        </w:rPr>
        <w:t xml:space="preserve">NOTA: EL INCUMPLIMIENTO DE LOS PARAMETROS ESTABLECIDOS PRECEDENTEMENTE,  </w:t>
      </w:r>
      <w:r w:rsidRPr="00767FD8">
        <w:rPr>
          <w:b/>
          <w:sz w:val="20"/>
          <w:szCs w:val="20"/>
          <w:u w:val="single"/>
        </w:rPr>
        <w:t>NO DARÁ LUGAR A SUBSANACION ALGUNA</w:t>
      </w:r>
    </w:p>
    <w:sectPr w:rsidR="004A5377" w:rsidSect="00DF32F7"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1C439E"/>
    <w:multiLevelType w:val="hybridMultilevel"/>
    <w:tmpl w:val="A9D2607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713E12"/>
    <w:multiLevelType w:val="hybridMultilevel"/>
    <w:tmpl w:val="D6D0852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491326"/>
    <w:multiLevelType w:val="hybridMultilevel"/>
    <w:tmpl w:val="18643D5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2F6E49"/>
    <w:multiLevelType w:val="hybridMultilevel"/>
    <w:tmpl w:val="49686AEE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8AB1A5D"/>
    <w:multiLevelType w:val="hybridMultilevel"/>
    <w:tmpl w:val="3022F632"/>
    <w:lvl w:ilvl="0" w:tplc="0C0A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194D4CF2"/>
    <w:multiLevelType w:val="hybridMultilevel"/>
    <w:tmpl w:val="573E374A"/>
    <w:lvl w:ilvl="0" w:tplc="10D4D7C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B6D5E7E"/>
    <w:multiLevelType w:val="hybridMultilevel"/>
    <w:tmpl w:val="38961A4A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62C6686"/>
    <w:multiLevelType w:val="hybridMultilevel"/>
    <w:tmpl w:val="DE1C603C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B6D0B0D"/>
    <w:multiLevelType w:val="hybridMultilevel"/>
    <w:tmpl w:val="49C2237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3500B6"/>
    <w:multiLevelType w:val="hybridMultilevel"/>
    <w:tmpl w:val="9DA2C5F8"/>
    <w:lvl w:ilvl="0" w:tplc="0C0A0017">
      <w:start w:val="1"/>
      <w:numFmt w:val="lowerLetter"/>
      <w:lvlText w:val="%1)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D113B30"/>
    <w:multiLevelType w:val="hybridMultilevel"/>
    <w:tmpl w:val="A9909B36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51917C6D"/>
    <w:multiLevelType w:val="hybridMultilevel"/>
    <w:tmpl w:val="830CF596"/>
    <w:lvl w:ilvl="0" w:tplc="7A8A8CCA">
      <w:start w:val="1"/>
      <w:numFmt w:val="bullet"/>
      <w:lvlText w:val=""/>
      <w:lvlJc w:val="left"/>
      <w:pPr>
        <w:ind w:left="795" w:hanging="360"/>
      </w:pPr>
      <w:rPr>
        <w:rFonts w:ascii="Symbol" w:hAnsi="Symbol" w:hint="default"/>
      </w:rPr>
    </w:lvl>
    <w:lvl w:ilvl="1" w:tplc="C9461C6A">
      <w:numFmt w:val="bullet"/>
      <w:lvlText w:val="-"/>
      <w:lvlJc w:val="left"/>
      <w:pPr>
        <w:ind w:left="1515" w:hanging="360"/>
      </w:pPr>
      <w:rPr>
        <w:rFonts w:hint="default"/>
      </w:rPr>
    </w:lvl>
    <w:lvl w:ilvl="2" w:tplc="40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>
    <w:nsid w:val="66CB44CF"/>
    <w:multiLevelType w:val="hybridMultilevel"/>
    <w:tmpl w:val="FAB82566"/>
    <w:lvl w:ilvl="0" w:tplc="40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67492F13"/>
    <w:multiLevelType w:val="hybridMultilevel"/>
    <w:tmpl w:val="4448006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6ADD76AC"/>
    <w:multiLevelType w:val="hybridMultilevel"/>
    <w:tmpl w:val="F0A21B6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6F0E3669"/>
    <w:multiLevelType w:val="hybridMultilevel"/>
    <w:tmpl w:val="71B21E8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0611917"/>
    <w:multiLevelType w:val="hybridMultilevel"/>
    <w:tmpl w:val="89F28068"/>
    <w:lvl w:ilvl="0" w:tplc="400A0017">
      <w:start w:val="1"/>
      <w:numFmt w:val="lowerLetter"/>
      <w:lvlText w:val="%1)"/>
      <w:lvlJc w:val="left"/>
      <w:pPr>
        <w:ind w:left="360" w:hanging="360"/>
      </w:p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4B178DF"/>
    <w:multiLevelType w:val="hybridMultilevel"/>
    <w:tmpl w:val="CC9647B8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E8A3F22"/>
    <w:multiLevelType w:val="hybridMultilevel"/>
    <w:tmpl w:val="4FD294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BE00D6"/>
    <w:multiLevelType w:val="hybridMultilevel"/>
    <w:tmpl w:val="7342196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F0831E2"/>
    <w:multiLevelType w:val="hybridMultilevel"/>
    <w:tmpl w:val="CA325F5A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9"/>
  </w:num>
  <w:num w:numId="3">
    <w:abstractNumId w:val="16"/>
  </w:num>
  <w:num w:numId="4">
    <w:abstractNumId w:val="6"/>
  </w:num>
  <w:num w:numId="5">
    <w:abstractNumId w:val="17"/>
  </w:num>
  <w:num w:numId="6">
    <w:abstractNumId w:val="2"/>
  </w:num>
  <w:num w:numId="7">
    <w:abstractNumId w:val="1"/>
  </w:num>
  <w:num w:numId="8">
    <w:abstractNumId w:val="8"/>
  </w:num>
  <w:num w:numId="9">
    <w:abstractNumId w:val="20"/>
  </w:num>
  <w:num w:numId="10">
    <w:abstractNumId w:val="11"/>
  </w:num>
  <w:num w:numId="11">
    <w:abstractNumId w:val="12"/>
  </w:num>
  <w:num w:numId="12">
    <w:abstractNumId w:val="15"/>
  </w:num>
  <w:num w:numId="13">
    <w:abstractNumId w:val="4"/>
  </w:num>
  <w:num w:numId="14">
    <w:abstractNumId w:val="9"/>
  </w:num>
  <w:num w:numId="15">
    <w:abstractNumId w:val="18"/>
  </w:num>
  <w:num w:numId="16">
    <w:abstractNumId w:val="5"/>
  </w:num>
  <w:num w:numId="17">
    <w:abstractNumId w:val="10"/>
  </w:num>
  <w:num w:numId="18">
    <w:abstractNumId w:val="14"/>
  </w:num>
  <w:num w:numId="19">
    <w:abstractNumId w:val="13"/>
  </w:num>
  <w:num w:numId="20">
    <w:abstractNumId w:val="3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2F7"/>
    <w:rsid w:val="00021F34"/>
    <w:rsid w:val="00032BA5"/>
    <w:rsid w:val="00055D64"/>
    <w:rsid w:val="000A7009"/>
    <w:rsid w:val="000D1E5F"/>
    <w:rsid w:val="001C184D"/>
    <w:rsid w:val="001C7B54"/>
    <w:rsid w:val="00267DD9"/>
    <w:rsid w:val="00331839"/>
    <w:rsid w:val="00427B19"/>
    <w:rsid w:val="004A5377"/>
    <w:rsid w:val="00510628"/>
    <w:rsid w:val="00561CFF"/>
    <w:rsid w:val="005E366C"/>
    <w:rsid w:val="006126E0"/>
    <w:rsid w:val="00624F22"/>
    <w:rsid w:val="006D65FD"/>
    <w:rsid w:val="00825009"/>
    <w:rsid w:val="008E0677"/>
    <w:rsid w:val="00AA306C"/>
    <w:rsid w:val="00B51347"/>
    <w:rsid w:val="00BA14D5"/>
    <w:rsid w:val="00C31759"/>
    <w:rsid w:val="00C9114D"/>
    <w:rsid w:val="00D42ADC"/>
    <w:rsid w:val="00D97B74"/>
    <w:rsid w:val="00DF32F7"/>
    <w:rsid w:val="00E07B2F"/>
    <w:rsid w:val="00E6263C"/>
    <w:rsid w:val="00E87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364B4B15-F079-44DB-9663-036179BA1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32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DF32F7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es-ES"/>
    </w:rPr>
  </w:style>
  <w:style w:type="paragraph" w:styleId="Prrafodelista">
    <w:name w:val="List Paragraph"/>
    <w:aliases w:val="본문1,titulo 5"/>
    <w:basedOn w:val="Normal"/>
    <w:link w:val="PrrafodelistaCar"/>
    <w:uiPriority w:val="34"/>
    <w:qFormat/>
    <w:rsid w:val="00DF32F7"/>
    <w:pPr>
      <w:ind w:left="708"/>
    </w:pPr>
  </w:style>
  <w:style w:type="character" w:customStyle="1" w:styleId="PrrafodelistaCar">
    <w:name w:val="Párrafo de lista Car"/>
    <w:aliases w:val="본문1 Car,titulo 5 Car"/>
    <w:link w:val="Prrafodelista"/>
    <w:uiPriority w:val="34"/>
    <w:locked/>
    <w:rsid w:val="00DF32F7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9114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9114D"/>
    <w:rPr>
      <w:rFonts w:ascii="Tahoma" w:eastAsia="Times New Roman" w:hAnsi="Tahoma" w:cs="Tahoma"/>
      <w:sz w:val="16"/>
      <w:szCs w:val="16"/>
      <w:lang w:eastAsia="es-ES"/>
    </w:rPr>
  </w:style>
  <w:style w:type="paragraph" w:customStyle="1" w:styleId="ApendiceA2">
    <w:name w:val="Apendice A2"/>
    <w:basedOn w:val="Normal"/>
    <w:link w:val="ApendiceA2Car"/>
    <w:rsid w:val="00C9114D"/>
    <w:pPr>
      <w:jc w:val="both"/>
    </w:pPr>
    <w:rPr>
      <w:rFonts w:ascii="Arial" w:hAnsi="Arial"/>
      <w:sz w:val="22"/>
      <w:szCs w:val="22"/>
    </w:rPr>
  </w:style>
  <w:style w:type="character" w:customStyle="1" w:styleId="ApendiceA2Car">
    <w:name w:val="Apendice A2 Car"/>
    <w:link w:val="ApendiceA2"/>
    <w:rsid w:val="00C9114D"/>
    <w:rPr>
      <w:rFonts w:ascii="Arial" w:eastAsia="Times New Roman" w:hAnsi="Arial" w:cs="Times New Roman"/>
      <w:lang w:eastAsia="es-ES"/>
    </w:rPr>
  </w:style>
  <w:style w:type="paragraph" w:styleId="Encabezado">
    <w:name w:val="header"/>
    <w:basedOn w:val="Normal"/>
    <w:link w:val="EncabezadoCar"/>
    <w:uiPriority w:val="99"/>
    <w:rsid w:val="00C9114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9114D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fasis">
    <w:name w:val="Emphasis"/>
    <w:basedOn w:val="Fuentedeprrafopredeter"/>
    <w:uiPriority w:val="20"/>
    <w:qFormat/>
    <w:rsid w:val="00D97B74"/>
    <w:rPr>
      <w:i/>
      <w:iCs/>
    </w:rPr>
  </w:style>
  <w:style w:type="paragraph" w:styleId="Sinespaciado">
    <w:name w:val="No Spacing"/>
    <w:link w:val="SinespaciadoCar"/>
    <w:uiPriority w:val="1"/>
    <w:qFormat/>
    <w:rsid w:val="00AA306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SinespaciadoCar">
    <w:name w:val="Sin espaciado Car"/>
    <w:link w:val="Sinespaciado"/>
    <w:uiPriority w:val="1"/>
    <w:rsid w:val="00AA306C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1198F6-3007-401B-8D38-48DCCE105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982</Words>
  <Characters>5401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YPFB</Company>
  <LinksUpToDate>false</LinksUpToDate>
  <CharactersWithSpaces>6371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Alvaro Vladimir Amador Castro</dc:creator>
  <cp:lastModifiedBy>Corina Jacqueline Flores Ferrufino</cp:lastModifiedBy>
  <cp:revision>5</cp:revision>
  <cp:lastPrinted>2017-12-20T12:07:00Z</cp:lastPrinted>
  <dcterms:created xsi:type="dcterms:W3CDTF">2017-12-20T12:05:00Z</dcterms:created>
  <dcterms:modified xsi:type="dcterms:W3CDTF">2017-12-29T19:14:00Z</dcterms:modified>
</cp:coreProperties>
</file>