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0B" w:rsidRDefault="00BE2B0B" w:rsidP="00BE2B0B">
      <w:pPr>
        <w:jc w:val="center"/>
        <w:rPr>
          <w:rFonts w:ascii="Arial Narrow" w:hAnsi="Arial Narrow" w:cs="Calibri"/>
          <w:b/>
          <w:sz w:val="22"/>
          <w:szCs w:val="22"/>
          <w:u w:val="single"/>
        </w:rPr>
      </w:pPr>
      <w:r>
        <w:rPr>
          <w:rFonts w:ascii="Arial Narrow" w:hAnsi="Arial Narrow" w:cs="Calibri"/>
          <w:b/>
          <w:sz w:val="22"/>
          <w:szCs w:val="22"/>
          <w:u w:val="single"/>
        </w:rPr>
        <w:t>ESPECIFICACIONES TÉCNICAS DE BIENES</w:t>
      </w:r>
    </w:p>
    <w:p w:rsidR="00BE2B0B" w:rsidRDefault="00BE2B0B" w:rsidP="00BE2B0B">
      <w:pPr>
        <w:rPr>
          <w:rFonts w:ascii="Arial Narrow" w:hAnsi="Arial Narrow" w:cs="Calibri"/>
          <w:sz w:val="22"/>
          <w:szCs w:val="22"/>
        </w:rPr>
      </w:pPr>
    </w:p>
    <w:tbl>
      <w:tblPr>
        <w:tblW w:w="9195" w:type="dxa"/>
        <w:jc w:val="center"/>
        <w:tblLayout w:type="fixed"/>
        <w:tblCellMar>
          <w:left w:w="70" w:type="dxa"/>
          <w:right w:w="70" w:type="dxa"/>
        </w:tblCellMar>
        <w:tblLook w:val="04A0" w:firstRow="1" w:lastRow="0" w:firstColumn="1" w:lastColumn="0" w:noHBand="0" w:noVBand="1"/>
      </w:tblPr>
      <w:tblGrid>
        <w:gridCol w:w="987"/>
        <w:gridCol w:w="5166"/>
        <w:gridCol w:w="1625"/>
        <w:gridCol w:w="1417"/>
      </w:tblGrid>
      <w:tr w:rsidR="00BE2B0B" w:rsidTr="00BE2B0B">
        <w:trPr>
          <w:trHeight w:val="502"/>
          <w:jc w:val="center"/>
        </w:trPr>
        <w:tc>
          <w:tcPr>
            <w:tcW w:w="988" w:type="dxa"/>
            <w:tcBorders>
              <w:top w:val="single" w:sz="4" w:space="0" w:color="auto"/>
              <w:left w:val="single" w:sz="4" w:space="0" w:color="auto"/>
              <w:bottom w:val="single" w:sz="4" w:space="0" w:color="auto"/>
              <w:right w:val="single" w:sz="4" w:space="0" w:color="000000"/>
            </w:tcBorders>
            <w:shd w:val="clear" w:color="auto" w:fill="B8CCE4"/>
            <w:vAlign w:val="center"/>
            <w:hideMark/>
          </w:tcPr>
          <w:p w:rsidR="00BE2B0B" w:rsidRDefault="00BE2B0B">
            <w:pPr>
              <w:spacing w:before="60" w:after="60"/>
              <w:jc w:val="center"/>
              <w:rPr>
                <w:rFonts w:ascii="Arial Narrow" w:hAnsi="Arial Narrow" w:cs="Calibri"/>
                <w:b/>
                <w:bCs/>
                <w:sz w:val="22"/>
                <w:szCs w:val="22"/>
                <w:lang w:val="es-BO"/>
              </w:rPr>
            </w:pPr>
            <w:r>
              <w:rPr>
                <w:rFonts w:ascii="Arial Narrow" w:hAnsi="Arial Narrow" w:cs="Calibri"/>
                <w:b/>
                <w:bCs/>
                <w:sz w:val="22"/>
                <w:szCs w:val="22"/>
                <w:lang w:val="es-BO"/>
              </w:rPr>
              <w:t>N° ÍTEM</w:t>
            </w:r>
          </w:p>
        </w:tc>
        <w:tc>
          <w:tcPr>
            <w:tcW w:w="5170"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BE2B0B" w:rsidRDefault="00BE2B0B">
            <w:pPr>
              <w:spacing w:before="60" w:after="60"/>
              <w:jc w:val="center"/>
              <w:rPr>
                <w:rFonts w:ascii="Arial Narrow" w:hAnsi="Arial Narrow" w:cs="Calibri"/>
                <w:b/>
                <w:bCs/>
                <w:sz w:val="22"/>
                <w:szCs w:val="22"/>
                <w:lang w:val="es-BO"/>
              </w:rPr>
            </w:pPr>
            <w:r>
              <w:rPr>
                <w:rFonts w:ascii="Arial Narrow" w:hAnsi="Arial Narrow" w:cs="Calibri"/>
                <w:b/>
                <w:bCs/>
                <w:sz w:val="22"/>
                <w:szCs w:val="22"/>
                <w:lang w:val="es-BO"/>
              </w:rPr>
              <w:t>DESCRIPCIÓN DETALLADA DEL BIEN</w:t>
            </w:r>
          </w:p>
        </w:tc>
        <w:tc>
          <w:tcPr>
            <w:tcW w:w="1626"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E2B0B" w:rsidRDefault="00BE2B0B">
            <w:pPr>
              <w:spacing w:before="60" w:after="60"/>
              <w:jc w:val="center"/>
              <w:rPr>
                <w:rFonts w:ascii="Arial Narrow" w:hAnsi="Arial Narrow" w:cs="Calibri"/>
                <w:b/>
                <w:bCs/>
                <w:sz w:val="22"/>
                <w:szCs w:val="22"/>
                <w:lang w:val="es-BO"/>
              </w:rPr>
            </w:pPr>
            <w:r>
              <w:rPr>
                <w:rFonts w:ascii="Arial Narrow" w:hAnsi="Arial Narrow" w:cs="Calibri"/>
                <w:b/>
                <w:bCs/>
                <w:sz w:val="22"/>
                <w:szCs w:val="22"/>
                <w:lang w:val="es-BO"/>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BE2B0B" w:rsidRDefault="00BE2B0B">
            <w:pPr>
              <w:spacing w:before="60" w:after="60"/>
              <w:jc w:val="center"/>
              <w:rPr>
                <w:rFonts w:ascii="Arial Narrow" w:hAnsi="Arial Narrow" w:cs="Calibri"/>
                <w:b/>
                <w:bCs/>
                <w:sz w:val="22"/>
                <w:szCs w:val="22"/>
                <w:lang w:val="es-BO"/>
              </w:rPr>
            </w:pPr>
            <w:r>
              <w:rPr>
                <w:rFonts w:ascii="Arial Narrow" w:hAnsi="Arial Narrow" w:cs="Calibri"/>
                <w:b/>
                <w:bCs/>
                <w:sz w:val="22"/>
                <w:szCs w:val="22"/>
                <w:lang w:val="es-BO"/>
              </w:rPr>
              <w:t>CANTIDAD</w:t>
            </w:r>
          </w:p>
        </w:tc>
      </w:tr>
      <w:tr w:rsidR="00BE2B0B" w:rsidTr="00BE2B0B">
        <w:trPr>
          <w:trHeight w:val="274"/>
          <w:jc w:val="center"/>
        </w:trPr>
        <w:tc>
          <w:tcPr>
            <w:tcW w:w="988" w:type="dxa"/>
            <w:tcBorders>
              <w:top w:val="single" w:sz="4" w:space="0" w:color="auto"/>
              <w:left w:val="single" w:sz="4" w:space="0" w:color="auto"/>
              <w:bottom w:val="single" w:sz="4" w:space="0" w:color="auto"/>
              <w:right w:val="single" w:sz="4" w:space="0" w:color="000000"/>
            </w:tcBorders>
            <w:vAlign w:val="center"/>
            <w:hideMark/>
          </w:tcPr>
          <w:p w:rsidR="00BE2B0B" w:rsidRDefault="00BE2B0B">
            <w:pPr>
              <w:jc w:val="center"/>
              <w:rPr>
                <w:rFonts w:ascii="Arial Narrow" w:hAnsi="Arial Narrow"/>
                <w:color w:val="444444"/>
                <w:lang w:val="es-MX" w:eastAsia="es-MX"/>
              </w:rPr>
            </w:pPr>
            <w:r>
              <w:rPr>
                <w:rFonts w:ascii="Arial Narrow" w:hAnsi="Arial Narrow"/>
                <w:color w:val="444444"/>
                <w:lang w:val="es-MX" w:eastAsia="es-MX"/>
              </w:rPr>
              <w:t>1</w:t>
            </w:r>
          </w:p>
        </w:tc>
        <w:tc>
          <w:tcPr>
            <w:tcW w:w="5170" w:type="dxa"/>
            <w:tcBorders>
              <w:top w:val="single" w:sz="4" w:space="0" w:color="auto"/>
              <w:left w:val="single" w:sz="4" w:space="0" w:color="auto"/>
              <w:bottom w:val="single" w:sz="4" w:space="0" w:color="auto"/>
              <w:right w:val="single" w:sz="4" w:space="0" w:color="000000"/>
            </w:tcBorders>
            <w:noWrap/>
            <w:vAlign w:val="center"/>
            <w:hideMark/>
          </w:tcPr>
          <w:p w:rsidR="00BE2B0B" w:rsidRDefault="00BE2B0B">
            <w:pPr>
              <w:rPr>
                <w:rFonts w:ascii="Arial Narrow" w:hAnsi="Arial Narrow"/>
                <w:color w:val="000000"/>
              </w:rPr>
            </w:pPr>
            <w:r>
              <w:rPr>
                <w:rFonts w:ascii="Arial Narrow" w:hAnsi="Arial Narrow"/>
                <w:color w:val="000000"/>
              </w:rPr>
              <w:t>DESFIBRILADOR AUTOMATICO</w:t>
            </w:r>
          </w:p>
        </w:tc>
        <w:tc>
          <w:tcPr>
            <w:tcW w:w="1626" w:type="dxa"/>
            <w:tcBorders>
              <w:top w:val="single" w:sz="4" w:space="0" w:color="auto"/>
              <w:left w:val="single" w:sz="4" w:space="0" w:color="auto"/>
              <w:bottom w:val="single" w:sz="4" w:space="0" w:color="auto"/>
              <w:right w:val="single" w:sz="4" w:space="0" w:color="auto"/>
            </w:tcBorders>
            <w:hideMark/>
          </w:tcPr>
          <w:p w:rsidR="00BE2B0B" w:rsidRDefault="00BE2B0B">
            <w:pPr>
              <w:jc w:val="center"/>
              <w:rPr>
                <w:rFonts w:ascii="Arial Narrow" w:hAnsi="Arial Narrow"/>
                <w:color w:val="444444"/>
                <w:lang w:val="es-MX" w:eastAsia="es-MX"/>
              </w:rPr>
            </w:pPr>
            <w:r>
              <w:rPr>
                <w:rFonts w:ascii="Arial Narrow" w:hAnsi="Arial Narrow"/>
                <w:color w:val="444444"/>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E2B0B" w:rsidRDefault="00BE2B0B">
            <w:pPr>
              <w:jc w:val="center"/>
              <w:rPr>
                <w:rFonts w:ascii="Arial Narrow" w:hAnsi="Arial Narrow"/>
                <w:color w:val="000000"/>
              </w:rPr>
            </w:pPr>
            <w:r>
              <w:rPr>
                <w:rFonts w:ascii="Arial Narrow" w:hAnsi="Arial Narrow"/>
                <w:color w:val="000000"/>
              </w:rPr>
              <w:t>1</w:t>
            </w:r>
          </w:p>
        </w:tc>
      </w:tr>
      <w:tr w:rsidR="00BE2B0B" w:rsidTr="00BE2B0B">
        <w:trPr>
          <w:trHeight w:val="397"/>
          <w:jc w:val="center"/>
        </w:trPr>
        <w:tc>
          <w:tcPr>
            <w:tcW w:w="988" w:type="dxa"/>
            <w:tcBorders>
              <w:top w:val="single" w:sz="4" w:space="0" w:color="auto"/>
              <w:left w:val="single" w:sz="4" w:space="0" w:color="auto"/>
              <w:bottom w:val="single" w:sz="4" w:space="0" w:color="auto"/>
              <w:right w:val="single" w:sz="4" w:space="0" w:color="000000"/>
            </w:tcBorders>
            <w:vAlign w:val="center"/>
            <w:hideMark/>
          </w:tcPr>
          <w:p w:rsidR="00BE2B0B" w:rsidRDefault="00BE2B0B">
            <w:pPr>
              <w:jc w:val="center"/>
              <w:rPr>
                <w:rFonts w:ascii="Arial Narrow" w:hAnsi="Arial Narrow"/>
                <w:color w:val="444444"/>
                <w:lang w:val="es-MX" w:eastAsia="es-MX"/>
              </w:rPr>
            </w:pPr>
            <w:r>
              <w:rPr>
                <w:rFonts w:ascii="Arial Narrow" w:hAnsi="Arial Narrow"/>
                <w:color w:val="444444"/>
                <w:lang w:val="es-MX" w:eastAsia="es-MX"/>
              </w:rPr>
              <w:t>2</w:t>
            </w:r>
          </w:p>
        </w:tc>
        <w:tc>
          <w:tcPr>
            <w:tcW w:w="5170" w:type="dxa"/>
            <w:tcBorders>
              <w:top w:val="single" w:sz="4" w:space="0" w:color="auto"/>
              <w:left w:val="single" w:sz="4" w:space="0" w:color="auto"/>
              <w:bottom w:val="single" w:sz="4" w:space="0" w:color="auto"/>
              <w:right w:val="single" w:sz="4" w:space="0" w:color="000000"/>
            </w:tcBorders>
            <w:noWrap/>
            <w:vAlign w:val="center"/>
            <w:hideMark/>
          </w:tcPr>
          <w:p w:rsidR="00BE2B0B" w:rsidRDefault="00BE2B0B">
            <w:pPr>
              <w:rPr>
                <w:rFonts w:ascii="Arial Narrow" w:hAnsi="Arial Narrow"/>
                <w:color w:val="000000"/>
              </w:rPr>
            </w:pPr>
            <w:r>
              <w:rPr>
                <w:rFonts w:ascii="Arial Narrow" w:hAnsi="Arial Narrow"/>
                <w:color w:val="000000"/>
              </w:rPr>
              <w:t>BALANZA MECÁNICA CON TALLIMETRO CAP. 220 KG</w:t>
            </w:r>
          </w:p>
        </w:tc>
        <w:tc>
          <w:tcPr>
            <w:tcW w:w="1626" w:type="dxa"/>
            <w:tcBorders>
              <w:top w:val="single" w:sz="4" w:space="0" w:color="auto"/>
              <w:left w:val="single" w:sz="4" w:space="0" w:color="auto"/>
              <w:bottom w:val="single" w:sz="4" w:space="0" w:color="auto"/>
              <w:right w:val="single" w:sz="4" w:space="0" w:color="auto"/>
            </w:tcBorders>
            <w:hideMark/>
          </w:tcPr>
          <w:p w:rsidR="00BE2B0B" w:rsidRDefault="00BE2B0B">
            <w:pPr>
              <w:jc w:val="center"/>
              <w:rPr>
                <w:rFonts w:ascii="Arial Narrow" w:hAnsi="Arial Narrow"/>
                <w:color w:val="444444"/>
                <w:lang w:val="es-MX" w:eastAsia="es-MX"/>
              </w:rPr>
            </w:pPr>
            <w:r>
              <w:rPr>
                <w:rFonts w:ascii="Arial Narrow" w:hAnsi="Arial Narrow"/>
                <w:color w:val="444444"/>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E2B0B" w:rsidRDefault="00BE2B0B">
            <w:pPr>
              <w:jc w:val="center"/>
              <w:rPr>
                <w:rFonts w:ascii="Arial Narrow" w:hAnsi="Arial Narrow"/>
                <w:color w:val="000000"/>
              </w:rPr>
            </w:pPr>
            <w:r>
              <w:rPr>
                <w:rFonts w:ascii="Arial Narrow" w:hAnsi="Arial Narrow"/>
                <w:color w:val="000000"/>
              </w:rPr>
              <w:t>1</w:t>
            </w:r>
          </w:p>
        </w:tc>
      </w:tr>
      <w:tr w:rsidR="00BE2B0B" w:rsidTr="00BE2B0B">
        <w:trPr>
          <w:trHeight w:val="397"/>
          <w:jc w:val="center"/>
        </w:trPr>
        <w:tc>
          <w:tcPr>
            <w:tcW w:w="988" w:type="dxa"/>
            <w:tcBorders>
              <w:top w:val="single" w:sz="4" w:space="0" w:color="auto"/>
              <w:left w:val="single" w:sz="4" w:space="0" w:color="auto"/>
              <w:bottom w:val="single" w:sz="4" w:space="0" w:color="auto"/>
              <w:right w:val="single" w:sz="4" w:space="0" w:color="000000"/>
            </w:tcBorders>
            <w:vAlign w:val="center"/>
            <w:hideMark/>
          </w:tcPr>
          <w:p w:rsidR="00BE2B0B" w:rsidRDefault="00BE2B0B">
            <w:pPr>
              <w:jc w:val="center"/>
              <w:rPr>
                <w:rFonts w:ascii="Arial Narrow" w:hAnsi="Arial Narrow"/>
                <w:color w:val="444444"/>
                <w:lang w:val="es-MX" w:eastAsia="es-MX"/>
              </w:rPr>
            </w:pPr>
            <w:r>
              <w:rPr>
                <w:rFonts w:ascii="Arial Narrow" w:hAnsi="Arial Narrow"/>
                <w:color w:val="444444"/>
                <w:lang w:val="es-MX" w:eastAsia="es-MX"/>
              </w:rPr>
              <w:t>3</w:t>
            </w:r>
          </w:p>
        </w:tc>
        <w:tc>
          <w:tcPr>
            <w:tcW w:w="5170" w:type="dxa"/>
            <w:tcBorders>
              <w:top w:val="single" w:sz="4" w:space="0" w:color="auto"/>
              <w:left w:val="single" w:sz="4" w:space="0" w:color="auto"/>
              <w:bottom w:val="single" w:sz="4" w:space="0" w:color="auto"/>
              <w:right w:val="single" w:sz="4" w:space="0" w:color="000000"/>
            </w:tcBorders>
            <w:noWrap/>
            <w:vAlign w:val="center"/>
            <w:hideMark/>
          </w:tcPr>
          <w:p w:rsidR="00BE2B0B" w:rsidRDefault="00BE2B0B">
            <w:pPr>
              <w:rPr>
                <w:rFonts w:ascii="Arial Narrow" w:hAnsi="Arial Narrow"/>
                <w:color w:val="000000"/>
              </w:rPr>
            </w:pPr>
            <w:r>
              <w:rPr>
                <w:rFonts w:ascii="Arial Narrow" w:hAnsi="Arial Narrow"/>
                <w:color w:val="000000"/>
              </w:rPr>
              <w:t>TENSIOMETRO DIGITAL</w:t>
            </w:r>
          </w:p>
        </w:tc>
        <w:tc>
          <w:tcPr>
            <w:tcW w:w="1626" w:type="dxa"/>
            <w:tcBorders>
              <w:top w:val="single" w:sz="4" w:space="0" w:color="auto"/>
              <w:left w:val="single" w:sz="4" w:space="0" w:color="auto"/>
              <w:bottom w:val="single" w:sz="4" w:space="0" w:color="auto"/>
              <w:right w:val="single" w:sz="4" w:space="0" w:color="auto"/>
            </w:tcBorders>
            <w:hideMark/>
          </w:tcPr>
          <w:p w:rsidR="00BE2B0B" w:rsidRDefault="00BE2B0B">
            <w:pPr>
              <w:jc w:val="center"/>
              <w:rPr>
                <w:rFonts w:ascii="Arial Narrow" w:hAnsi="Arial Narrow"/>
                <w:color w:val="444444"/>
                <w:lang w:val="es-MX" w:eastAsia="es-MX"/>
              </w:rPr>
            </w:pPr>
            <w:r>
              <w:rPr>
                <w:rFonts w:ascii="Arial Narrow" w:hAnsi="Arial Narrow"/>
                <w:color w:val="444444"/>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E2B0B" w:rsidRDefault="00BE2B0B">
            <w:pPr>
              <w:jc w:val="center"/>
              <w:rPr>
                <w:rFonts w:ascii="Arial Narrow" w:hAnsi="Arial Narrow"/>
                <w:color w:val="000000"/>
              </w:rPr>
            </w:pPr>
            <w:r>
              <w:rPr>
                <w:rFonts w:ascii="Arial Narrow" w:hAnsi="Arial Narrow"/>
                <w:color w:val="000000"/>
              </w:rPr>
              <w:t>3</w:t>
            </w:r>
          </w:p>
        </w:tc>
      </w:tr>
    </w:tbl>
    <w:p w:rsidR="00BE2B0B" w:rsidRDefault="00BE2B0B" w:rsidP="00BE2B0B">
      <w:pPr>
        <w:pStyle w:val="Prrafodelista"/>
        <w:ind w:left="567"/>
        <w:contextualSpacing/>
        <w:jc w:val="both"/>
        <w:rPr>
          <w:rFonts w:ascii="Arial Narrow" w:hAnsi="Arial Narrow" w:cs="Calibri"/>
          <w:b/>
          <w:bCs/>
          <w:lang w:eastAsia="es-BO"/>
        </w:rPr>
      </w:pPr>
    </w:p>
    <w:p w:rsidR="00BE2B0B" w:rsidRDefault="00BE2B0B" w:rsidP="00BE2B0B">
      <w:pPr>
        <w:pStyle w:val="Prrafodelista"/>
        <w:numPr>
          <w:ilvl w:val="0"/>
          <w:numId w:val="1"/>
        </w:numPr>
        <w:ind w:left="567" w:hanging="567"/>
        <w:contextualSpacing/>
        <w:jc w:val="both"/>
        <w:rPr>
          <w:rFonts w:ascii="Arial Narrow" w:hAnsi="Arial Narrow" w:cs="Calibri"/>
          <w:b/>
          <w:bCs/>
          <w:lang w:eastAsia="es-BO"/>
        </w:rPr>
      </w:pPr>
      <w:r>
        <w:rPr>
          <w:rFonts w:ascii="Arial Narrow" w:hAnsi="Arial Narrow" w:cs="Calibri"/>
          <w:b/>
          <w:bCs/>
          <w:lang w:eastAsia="es-BO"/>
        </w:rPr>
        <w:t>CARACTERÍSTICAS DEL REQUERIMIENTO (Sujeto a Evaluación)</w:t>
      </w:r>
    </w:p>
    <w:p w:rsidR="00BE2B0B" w:rsidRDefault="00BE2B0B" w:rsidP="00BE2B0B">
      <w:pPr>
        <w:pStyle w:val="Prrafodelista"/>
        <w:jc w:val="both"/>
        <w:rPr>
          <w:rFonts w:ascii="Arial Narrow" w:hAnsi="Arial Narrow" w:cs="Calibri"/>
          <w:b/>
          <w:bCs/>
          <w:lang w:eastAsia="es-BO"/>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5"/>
      </w:tblGrid>
      <w:tr w:rsidR="00BE2B0B" w:rsidTr="00BE2B0B">
        <w:trPr>
          <w:trHeight w:val="479"/>
          <w:jc w:val="center"/>
        </w:trPr>
        <w:tc>
          <w:tcPr>
            <w:tcW w:w="965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E2B0B" w:rsidRDefault="00BE2B0B">
            <w:pPr>
              <w:autoSpaceDE w:val="0"/>
              <w:autoSpaceDN w:val="0"/>
              <w:adjustRightInd w:val="0"/>
              <w:rPr>
                <w:rFonts w:ascii="Arial Narrow" w:hAnsi="Arial Narrow" w:cs="Calibri"/>
                <w:b/>
                <w:bCs/>
                <w:sz w:val="22"/>
                <w:szCs w:val="22"/>
                <w:lang w:eastAsia="es-BO"/>
              </w:rPr>
            </w:pPr>
            <w:r>
              <w:rPr>
                <w:rFonts w:ascii="Arial Narrow" w:hAnsi="Arial Narrow" w:cs="Calibri"/>
                <w:b/>
                <w:bCs/>
                <w:sz w:val="22"/>
                <w:szCs w:val="22"/>
              </w:rPr>
              <w:t>CARACTERÍSTICAS TÉCNICAS DEL BIEN</w:t>
            </w:r>
          </w:p>
        </w:tc>
      </w:tr>
      <w:tr w:rsidR="00BE2B0B" w:rsidTr="00BE2B0B">
        <w:trPr>
          <w:trHeight w:val="452"/>
          <w:jc w:val="center"/>
        </w:trPr>
        <w:tc>
          <w:tcPr>
            <w:tcW w:w="9650" w:type="dxa"/>
            <w:tcBorders>
              <w:top w:val="single" w:sz="4" w:space="0" w:color="auto"/>
              <w:left w:val="single" w:sz="4" w:space="0" w:color="auto"/>
              <w:bottom w:val="single" w:sz="4" w:space="0" w:color="auto"/>
              <w:right w:val="single" w:sz="4" w:space="0" w:color="auto"/>
            </w:tcBorders>
            <w:vAlign w:val="center"/>
          </w:tcPr>
          <w:p w:rsidR="00BE2B0B" w:rsidRDefault="00BE2B0B" w:rsidP="003518C2">
            <w:pPr>
              <w:pStyle w:val="Prrafodelista"/>
              <w:numPr>
                <w:ilvl w:val="0"/>
                <w:numId w:val="2"/>
              </w:numPr>
              <w:rPr>
                <w:rFonts w:ascii="Arial Narrow" w:hAnsi="Arial Narrow"/>
                <w:b/>
                <w:color w:val="000000"/>
              </w:rPr>
            </w:pPr>
            <w:r>
              <w:rPr>
                <w:rFonts w:ascii="Arial Narrow" w:hAnsi="Arial Narrow"/>
                <w:b/>
                <w:color w:val="000000"/>
              </w:rPr>
              <w:t>DESFIBRILADOR AUTOMÀTICO</w:t>
            </w:r>
          </w:p>
          <w:p w:rsidR="00BE2B0B" w:rsidRDefault="00BE2B0B">
            <w:pPr>
              <w:ind w:left="360"/>
              <w:rPr>
                <w:rFonts w:ascii="Arial Narrow" w:hAnsi="Arial Narrow"/>
                <w:color w:val="000000"/>
                <w:sz w:val="22"/>
              </w:rPr>
            </w:pPr>
            <w:r>
              <w:rPr>
                <w:rFonts w:ascii="Arial Narrow" w:hAnsi="Arial Narrow"/>
                <w:color w:val="000000"/>
                <w:sz w:val="22"/>
              </w:rPr>
              <w:t>Desfibrilador</w:t>
            </w:r>
          </w:p>
          <w:p w:rsidR="00BE2B0B" w:rsidRDefault="00BE2B0B">
            <w:pPr>
              <w:ind w:left="360"/>
              <w:rPr>
                <w:rFonts w:ascii="Arial Narrow" w:hAnsi="Arial Narrow"/>
                <w:color w:val="000000"/>
                <w:sz w:val="22"/>
              </w:rPr>
            </w:pPr>
            <w:r>
              <w:rPr>
                <w:rFonts w:ascii="Arial Narrow" w:hAnsi="Arial Narrow"/>
                <w:color w:val="000000"/>
                <w:sz w:val="22"/>
                <w:u w:val="single"/>
              </w:rPr>
              <w:t>Forma de onda:</w:t>
            </w:r>
            <w:r>
              <w:rPr>
                <w:rFonts w:ascii="Arial Narrow" w:hAnsi="Arial Narrow"/>
                <w:color w:val="000000"/>
                <w:sz w:val="22"/>
              </w:rPr>
              <w:t xml:space="preserve"> Bifásica exponencial truncada, con compensación de voltaje y duración de la corriente según la impedancia del paciente.*</w:t>
            </w:r>
          </w:p>
          <w:p w:rsidR="00BE2B0B" w:rsidRDefault="00BE2B0B">
            <w:pPr>
              <w:ind w:left="360"/>
              <w:rPr>
                <w:rFonts w:ascii="Arial Narrow" w:hAnsi="Arial Narrow"/>
                <w:color w:val="000000"/>
                <w:sz w:val="22"/>
              </w:rPr>
            </w:pPr>
            <w:r>
              <w:rPr>
                <w:rFonts w:ascii="Arial Narrow" w:hAnsi="Arial Narrow"/>
                <w:color w:val="000000"/>
                <w:sz w:val="22"/>
                <w:u w:val="single"/>
              </w:rPr>
              <w:t>Secuencia de salida de energía</w:t>
            </w:r>
            <w:r>
              <w:rPr>
                <w:rFonts w:ascii="Arial Narrow" w:hAnsi="Arial Narrow"/>
                <w:color w:val="000000"/>
                <w:sz w:val="22"/>
              </w:rPr>
              <w:t xml:space="preserve">: Varios niveles, configurable por el usuario entre 200 J y 360 J </w:t>
            </w:r>
          </w:p>
          <w:p w:rsidR="00BE2B0B" w:rsidRDefault="00BE2B0B">
            <w:pPr>
              <w:ind w:left="360"/>
              <w:rPr>
                <w:rFonts w:ascii="Arial Narrow" w:hAnsi="Arial Narrow"/>
                <w:color w:val="000000"/>
                <w:sz w:val="22"/>
              </w:rPr>
            </w:pPr>
            <w:r>
              <w:rPr>
                <w:rFonts w:ascii="Arial Narrow" w:hAnsi="Arial Narrow"/>
                <w:color w:val="000000"/>
                <w:sz w:val="22"/>
              </w:rPr>
              <w:t>Precisión de energía de salida: ±10% en 50 ohmios, ±15% en 25 a 100 ohmios.</w:t>
            </w:r>
          </w:p>
          <w:p w:rsidR="00BE2B0B" w:rsidRDefault="00BE2B0B">
            <w:pPr>
              <w:ind w:left="360"/>
              <w:rPr>
                <w:rFonts w:ascii="Arial Narrow" w:hAnsi="Arial Narrow"/>
                <w:color w:val="000000"/>
                <w:sz w:val="22"/>
              </w:rPr>
            </w:pPr>
            <w:r>
              <w:rPr>
                <w:rFonts w:ascii="Arial Narrow" w:hAnsi="Arial Narrow"/>
                <w:color w:val="000000"/>
                <w:sz w:val="22"/>
                <w:u w:val="single"/>
              </w:rPr>
              <w:t>Sistema de ayuda al diagnóstico:</w:t>
            </w:r>
            <w:r>
              <w:rPr>
                <w:rFonts w:ascii="Arial Narrow" w:hAnsi="Arial Narrow"/>
                <w:color w:val="000000"/>
                <w:sz w:val="22"/>
              </w:rPr>
              <w:t xml:space="preserve"> Un sistema de análisis de ECG que indica cuándo es aconsejable administrar una descarga; cumple los criterios de identificación de ritmo especificados en DF39.</w:t>
            </w:r>
          </w:p>
          <w:p w:rsidR="00BE2B0B" w:rsidRDefault="00BE2B0B">
            <w:pPr>
              <w:ind w:left="360"/>
              <w:rPr>
                <w:rFonts w:ascii="Arial Narrow" w:hAnsi="Arial Narrow"/>
                <w:color w:val="000000"/>
                <w:sz w:val="22"/>
              </w:rPr>
            </w:pPr>
            <w:r>
              <w:rPr>
                <w:rFonts w:ascii="Arial Narrow" w:hAnsi="Arial Narrow"/>
                <w:color w:val="000000"/>
                <w:sz w:val="22"/>
              </w:rPr>
              <w:t>El equipo sólo carga para administrar una descarga si el sistema de ayuda al diagnóstico así lo aconseja.</w:t>
            </w:r>
          </w:p>
          <w:p w:rsidR="00BE2B0B" w:rsidRDefault="00BE2B0B">
            <w:pPr>
              <w:ind w:left="360"/>
              <w:rPr>
                <w:rFonts w:ascii="Arial Narrow" w:hAnsi="Arial Narrow"/>
                <w:color w:val="000000"/>
                <w:sz w:val="22"/>
              </w:rPr>
            </w:pPr>
            <w:r>
              <w:rPr>
                <w:rFonts w:ascii="Arial Narrow" w:hAnsi="Arial Narrow"/>
                <w:color w:val="000000"/>
                <w:sz w:val="22"/>
              </w:rPr>
              <w:t>Capacidad del equipo:</w:t>
            </w:r>
          </w:p>
          <w:p w:rsidR="00BE2B0B" w:rsidRDefault="00BE2B0B">
            <w:pPr>
              <w:ind w:left="360"/>
              <w:rPr>
                <w:rFonts w:ascii="Arial Narrow" w:hAnsi="Arial Narrow"/>
                <w:color w:val="000000"/>
                <w:sz w:val="22"/>
              </w:rPr>
            </w:pPr>
            <w:r>
              <w:rPr>
                <w:rFonts w:ascii="Arial Narrow" w:hAnsi="Arial Narrow"/>
                <w:color w:val="000000"/>
                <w:sz w:val="22"/>
                <w:u w:val="single"/>
              </w:rPr>
              <w:t>Típica</w:t>
            </w:r>
            <w:r>
              <w:rPr>
                <w:rFonts w:ascii="Arial Narrow" w:hAnsi="Arial Narrow"/>
                <w:color w:val="000000"/>
                <w:sz w:val="22"/>
              </w:rPr>
              <w:t>: treinta (30) descargas completas o 210 minutos de “tiempo de actividad” con un equipo totalmente cargado.</w:t>
            </w:r>
          </w:p>
          <w:p w:rsidR="00BE2B0B" w:rsidRDefault="00BE2B0B">
            <w:pPr>
              <w:ind w:left="360"/>
              <w:rPr>
                <w:rFonts w:ascii="Arial Narrow" w:hAnsi="Arial Narrow"/>
                <w:color w:val="000000"/>
                <w:sz w:val="22"/>
              </w:rPr>
            </w:pPr>
            <w:r>
              <w:rPr>
                <w:rFonts w:ascii="Arial Narrow" w:hAnsi="Arial Narrow"/>
                <w:color w:val="000000"/>
                <w:sz w:val="22"/>
                <w:u w:val="single"/>
              </w:rPr>
              <w:t>Mínima:</w:t>
            </w:r>
            <w:r>
              <w:rPr>
                <w:rFonts w:ascii="Arial Narrow" w:hAnsi="Arial Narrow"/>
                <w:color w:val="000000"/>
                <w:sz w:val="22"/>
              </w:rPr>
              <w:t xml:space="preserve"> Veinte (20) descargas completas o 140 minutos de “tiempo de actividad” con un equipo totalmente cargado.</w:t>
            </w:r>
          </w:p>
          <w:p w:rsidR="00BE2B0B" w:rsidRDefault="00BE2B0B">
            <w:pPr>
              <w:ind w:left="360"/>
              <w:rPr>
                <w:rFonts w:ascii="Arial Narrow" w:hAnsi="Arial Narrow"/>
                <w:color w:val="000000"/>
                <w:sz w:val="22"/>
              </w:rPr>
            </w:pPr>
            <w:r>
              <w:rPr>
                <w:rFonts w:ascii="Arial Narrow" w:hAnsi="Arial Narrow"/>
                <w:color w:val="000000"/>
                <w:sz w:val="22"/>
                <w:u w:val="single"/>
              </w:rPr>
              <w:t>Tiempo de carga para descarga:</w:t>
            </w:r>
            <w:r>
              <w:rPr>
                <w:rFonts w:ascii="Arial Narrow" w:hAnsi="Arial Narrow"/>
                <w:color w:val="000000"/>
                <w:sz w:val="22"/>
              </w:rPr>
              <w:t xml:space="preserve"> Tiempos de carga con un equipo totalmente cargado: 200 julios en menos de 9 segundos, 360 julios en menos de 15 segundos.</w:t>
            </w:r>
          </w:p>
          <w:p w:rsidR="00BE2B0B" w:rsidRDefault="00BE2B0B">
            <w:pPr>
              <w:ind w:left="360"/>
              <w:rPr>
                <w:rFonts w:ascii="Arial Narrow" w:hAnsi="Arial Narrow"/>
                <w:color w:val="000000"/>
                <w:sz w:val="22"/>
              </w:rPr>
            </w:pPr>
            <w:r>
              <w:rPr>
                <w:rFonts w:ascii="Arial Narrow" w:hAnsi="Arial Narrow"/>
                <w:color w:val="000000"/>
                <w:sz w:val="22"/>
                <w:u w:val="single"/>
              </w:rPr>
              <w:t>Tiempo de recarga del sistema:</w:t>
            </w:r>
            <w:r>
              <w:rPr>
                <w:rFonts w:ascii="Arial Narrow" w:hAnsi="Arial Narrow"/>
                <w:color w:val="000000"/>
                <w:sz w:val="22"/>
              </w:rPr>
              <w:t xml:space="preserve"> Tiempo de recarga con un equipo totalmente descargado: puede administrar seis (6) descargas o proporcionar 42 minutos de funcionamiento después de 48 horas de recarga, y 20 descargas o 140 minutos de funcionamiento después de catorce (14) días de recarga con un nuevo CHARGE-PAK a temperaturas superiores a los 15°C.</w:t>
            </w:r>
          </w:p>
          <w:p w:rsidR="00BE2B0B" w:rsidRDefault="00BE2B0B">
            <w:pPr>
              <w:ind w:left="360"/>
              <w:rPr>
                <w:rFonts w:ascii="Arial Narrow" w:hAnsi="Arial Narrow"/>
                <w:color w:val="000000"/>
                <w:sz w:val="22"/>
              </w:rPr>
            </w:pPr>
            <w:r>
              <w:rPr>
                <w:rFonts w:ascii="Arial Narrow" w:hAnsi="Arial Narrow"/>
                <w:color w:val="000000"/>
                <w:sz w:val="22"/>
                <w:u w:val="single"/>
              </w:rPr>
              <w:t>Controles:</w:t>
            </w:r>
            <w:r>
              <w:rPr>
                <w:rFonts w:ascii="Arial Narrow" w:hAnsi="Arial Narrow"/>
                <w:color w:val="000000"/>
                <w:sz w:val="22"/>
              </w:rPr>
              <w:t xml:space="preserve"> Apertura de la tapa y Encendido/Apagado: controla la alimentación del equipo. Botón de DESCARGA (versión semiautomática): suministra energía de desfibrilación. Una vez colocados los electrodos en el paciente, la versión totalmente automática del equipo administra una descarga, si procede, sin necesidad de la intervención del usuario.</w:t>
            </w:r>
          </w:p>
          <w:p w:rsidR="00BE2B0B" w:rsidRDefault="00BE2B0B">
            <w:pPr>
              <w:ind w:left="360"/>
              <w:rPr>
                <w:rFonts w:ascii="Arial Narrow" w:hAnsi="Arial Narrow"/>
                <w:color w:val="000000"/>
                <w:sz w:val="22"/>
              </w:rPr>
            </w:pPr>
            <w:r>
              <w:rPr>
                <w:rFonts w:ascii="Arial Narrow" w:hAnsi="Arial Narrow"/>
                <w:color w:val="000000"/>
                <w:sz w:val="22"/>
                <w:u w:val="single"/>
              </w:rPr>
              <w:t>Protección eléctrica:</w:t>
            </w:r>
            <w:r>
              <w:rPr>
                <w:rFonts w:ascii="Arial Narrow" w:hAnsi="Arial Narrow"/>
                <w:color w:val="000000"/>
                <w:sz w:val="22"/>
              </w:rPr>
              <w:t xml:space="preserve"> Entrada protegida contra los impulsos de alta tensión del desfibrilador, según las normativas IEC60601-1/EN60601-1.</w:t>
            </w:r>
          </w:p>
          <w:p w:rsidR="00BE2B0B" w:rsidRDefault="00BE2B0B">
            <w:pPr>
              <w:ind w:left="360"/>
              <w:rPr>
                <w:rFonts w:ascii="Arial Narrow" w:hAnsi="Arial Narrow"/>
                <w:color w:val="000000"/>
                <w:sz w:val="22"/>
              </w:rPr>
            </w:pPr>
            <w:r>
              <w:rPr>
                <w:rFonts w:ascii="Arial Narrow" w:hAnsi="Arial Narrow"/>
                <w:color w:val="000000"/>
                <w:sz w:val="22"/>
                <w:u w:val="single"/>
              </w:rPr>
              <w:t>Clasificación de seguridad:</w:t>
            </w:r>
            <w:r>
              <w:rPr>
                <w:rFonts w:ascii="Arial Narrow" w:hAnsi="Arial Narrow"/>
                <w:color w:val="000000"/>
                <w:sz w:val="22"/>
              </w:rPr>
              <w:t xml:space="preserve"> Equipo alimentado internamente. IEC60601-1/EN60601-1.</w:t>
            </w:r>
          </w:p>
          <w:p w:rsidR="00BE2B0B" w:rsidRDefault="00BE2B0B">
            <w:pPr>
              <w:ind w:left="360"/>
              <w:rPr>
                <w:rFonts w:ascii="Arial Narrow" w:hAnsi="Arial Narrow"/>
                <w:color w:val="000000"/>
                <w:sz w:val="22"/>
              </w:rPr>
            </w:pPr>
          </w:p>
          <w:p w:rsidR="00BE2B0B" w:rsidRDefault="00BE2B0B">
            <w:pPr>
              <w:ind w:left="360"/>
              <w:rPr>
                <w:rFonts w:ascii="Arial Narrow" w:hAnsi="Arial Narrow"/>
                <w:color w:val="000000"/>
                <w:sz w:val="22"/>
              </w:rPr>
            </w:pPr>
            <w:r>
              <w:rPr>
                <w:rFonts w:ascii="Arial Narrow" w:hAnsi="Arial Narrow"/>
                <w:color w:val="000000"/>
                <w:sz w:val="22"/>
              </w:rPr>
              <w:t>INTERFAZ DE USUARIO</w:t>
            </w:r>
          </w:p>
          <w:p w:rsidR="00BE2B0B" w:rsidRDefault="00BE2B0B">
            <w:pPr>
              <w:ind w:left="360"/>
              <w:rPr>
                <w:rFonts w:ascii="Arial Narrow" w:hAnsi="Arial Narrow"/>
                <w:color w:val="000000"/>
                <w:sz w:val="22"/>
              </w:rPr>
            </w:pPr>
            <w:r>
              <w:rPr>
                <w:rFonts w:ascii="Arial Narrow" w:hAnsi="Arial Narrow"/>
                <w:color w:val="000000"/>
                <w:sz w:val="22"/>
              </w:rPr>
              <w:t>Interfaz de usuario: La interfaz de usuario incluye mensajes y tonos audibles, e indicadores gráficos.</w:t>
            </w:r>
          </w:p>
          <w:p w:rsidR="00BE2B0B" w:rsidRDefault="00BE2B0B">
            <w:pPr>
              <w:ind w:left="360"/>
              <w:rPr>
                <w:rFonts w:ascii="Arial Narrow" w:hAnsi="Arial Narrow"/>
                <w:color w:val="000000"/>
                <w:sz w:val="22"/>
              </w:rPr>
            </w:pPr>
            <w:r>
              <w:rPr>
                <w:rFonts w:ascii="Arial Narrow" w:hAnsi="Arial Narrow"/>
                <w:color w:val="000000"/>
                <w:sz w:val="22"/>
              </w:rPr>
              <w:t>Pantalla: La pantalla muestra el estado del equipo.</w:t>
            </w:r>
          </w:p>
          <w:p w:rsidR="00BE2B0B" w:rsidRDefault="00BE2B0B">
            <w:pPr>
              <w:ind w:left="360"/>
              <w:rPr>
                <w:rFonts w:ascii="Arial Narrow" w:hAnsi="Arial Narrow"/>
                <w:color w:val="000000"/>
                <w:sz w:val="22"/>
              </w:rPr>
            </w:pPr>
            <w:r>
              <w:rPr>
                <w:rFonts w:ascii="Arial Narrow" w:hAnsi="Arial Narrow"/>
                <w:color w:val="000000"/>
                <w:sz w:val="22"/>
                <w:u w:val="single"/>
              </w:rPr>
              <w:t>Indicador OK</w:t>
            </w:r>
            <w:r>
              <w:rPr>
                <w:rFonts w:ascii="Arial Narrow" w:hAnsi="Arial Narrow"/>
                <w:color w:val="000000"/>
                <w:sz w:val="22"/>
              </w:rPr>
              <w:t>: Muestra “OK” cuando la última autocomprobación ha finalizado con éxito. Cuando el indicador “OK” está visible, no puede verse ningún otro indicador. El indicador “OK” no está visible cuando el equipo está en funcionamiento.</w:t>
            </w:r>
          </w:p>
          <w:p w:rsidR="00BE2B0B" w:rsidRDefault="00BE2B0B">
            <w:pPr>
              <w:ind w:left="360"/>
              <w:rPr>
                <w:rFonts w:ascii="Arial Narrow" w:hAnsi="Arial Narrow"/>
                <w:color w:val="000000"/>
                <w:sz w:val="22"/>
              </w:rPr>
            </w:pPr>
            <w:r>
              <w:rPr>
                <w:rFonts w:ascii="Arial Narrow" w:hAnsi="Arial Narrow"/>
                <w:color w:val="000000"/>
                <w:sz w:val="22"/>
              </w:rPr>
              <w:t>Indicador CHARGE-PAK: Cuando aparezca, cambie el cargador de la batería CHARGE-PAK.</w:t>
            </w:r>
          </w:p>
          <w:p w:rsidR="00BE2B0B" w:rsidRDefault="00BE2B0B">
            <w:pPr>
              <w:ind w:left="360"/>
              <w:rPr>
                <w:rFonts w:ascii="Arial Narrow" w:hAnsi="Arial Narrow"/>
                <w:color w:val="000000"/>
                <w:sz w:val="22"/>
              </w:rPr>
            </w:pPr>
            <w:r>
              <w:rPr>
                <w:rFonts w:ascii="Arial Narrow" w:hAnsi="Arial Narrow"/>
                <w:color w:val="000000"/>
                <w:sz w:val="22"/>
              </w:rPr>
              <w:t>Indicador de atención: la primera vez que aparece, aún quedan al menos seis (6) descargas o 42 minutos de funcionamiento.</w:t>
            </w:r>
          </w:p>
          <w:p w:rsidR="00BE2B0B" w:rsidRDefault="00BE2B0B">
            <w:pPr>
              <w:ind w:left="360"/>
              <w:rPr>
                <w:rFonts w:ascii="Arial Narrow" w:hAnsi="Arial Narrow"/>
                <w:color w:val="000000"/>
                <w:sz w:val="22"/>
              </w:rPr>
            </w:pPr>
            <w:r>
              <w:rPr>
                <w:rFonts w:ascii="Arial Narrow" w:hAnsi="Arial Narrow"/>
                <w:color w:val="000000"/>
                <w:sz w:val="22"/>
              </w:rPr>
              <w:lastRenderedPageBreak/>
              <w:t>Indicador de servicio: cuando aparece, el equipo necesita mantenimiento.</w:t>
            </w:r>
          </w:p>
          <w:p w:rsidR="00BE2B0B" w:rsidRDefault="00BE2B0B">
            <w:pPr>
              <w:ind w:left="360"/>
              <w:rPr>
                <w:rFonts w:ascii="Arial Narrow" w:hAnsi="Arial Narrow"/>
                <w:color w:val="000000"/>
                <w:sz w:val="22"/>
              </w:rPr>
            </w:pPr>
          </w:p>
          <w:p w:rsidR="00BE2B0B" w:rsidRDefault="00BE2B0B">
            <w:pPr>
              <w:ind w:left="360"/>
              <w:rPr>
                <w:rFonts w:ascii="Arial Narrow" w:hAnsi="Arial Narrow"/>
                <w:color w:val="000000"/>
                <w:sz w:val="22"/>
              </w:rPr>
            </w:pPr>
            <w:r>
              <w:rPr>
                <w:rFonts w:ascii="Arial Narrow" w:hAnsi="Arial Narrow"/>
                <w:color w:val="000000"/>
                <w:sz w:val="22"/>
              </w:rPr>
              <w:t>ENTORNO:</w:t>
            </w:r>
          </w:p>
          <w:p w:rsidR="00BE2B0B" w:rsidRDefault="00BE2B0B">
            <w:pPr>
              <w:ind w:left="360"/>
              <w:rPr>
                <w:rFonts w:ascii="Arial Narrow" w:hAnsi="Arial Narrow"/>
                <w:color w:val="000000"/>
                <w:sz w:val="22"/>
              </w:rPr>
            </w:pPr>
            <w:r>
              <w:rPr>
                <w:rFonts w:ascii="Arial Narrow" w:hAnsi="Arial Narrow"/>
                <w:color w:val="000000"/>
                <w:sz w:val="22"/>
              </w:rPr>
              <w:t>Nota: Todas las especificaciones de rendimiento definidas parten de la suposición de que el dispositivo se ha mantenido (dos horas como mínimo) a la temperatura de funcionamiento antes de utilizarlo.</w:t>
            </w:r>
          </w:p>
          <w:p w:rsidR="00BE2B0B" w:rsidRDefault="00BE2B0B">
            <w:pPr>
              <w:ind w:left="360"/>
              <w:rPr>
                <w:rFonts w:ascii="Arial Narrow" w:hAnsi="Arial Narrow"/>
                <w:color w:val="000000"/>
                <w:sz w:val="22"/>
              </w:rPr>
            </w:pPr>
            <w:r>
              <w:rPr>
                <w:rFonts w:ascii="Arial Narrow" w:hAnsi="Arial Narrow"/>
                <w:color w:val="000000"/>
                <w:sz w:val="22"/>
              </w:rPr>
              <w:t>Temperatura en funcionamiento: 0 a +50° C.</w:t>
            </w:r>
          </w:p>
          <w:p w:rsidR="00BE2B0B" w:rsidRDefault="00BE2B0B">
            <w:pPr>
              <w:ind w:left="360"/>
              <w:rPr>
                <w:rFonts w:ascii="Arial Narrow" w:hAnsi="Arial Narrow"/>
                <w:color w:val="000000"/>
                <w:sz w:val="22"/>
              </w:rPr>
            </w:pPr>
            <w:r>
              <w:rPr>
                <w:rFonts w:ascii="Arial Narrow" w:hAnsi="Arial Narrow"/>
                <w:color w:val="000000"/>
                <w:sz w:val="22"/>
              </w:rPr>
              <w:t>Temperatura de almacenamiento: -40 a +70°C con los electrodos; el tiempo máximo de exposición está limitado a una semana.</w:t>
            </w:r>
          </w:p>
          <w:p w:rsidR="00BE2B0B" w:rsidRDefault="00BE2B0B">
            <w:pPr>
              <w:ind w:left="360"/>
              <w:rPr>
                <w:rFonts w:ascii="Arial Narrow" w:hAnsi="Arial Narrow"/>
                <w:color w:val="000000"/>
                <w:sz w:val="22"/>
              </w:rPr>
            </w:pPr>
            <w:r>
              <w:rPr>
                <w:rFonts w:ascii="Arial Narrow" w:hAnsi="Arial Narrow"/>
                <w:color w:val="000000"/>
                <w:sz w:val="22"/>
              </w:rPr>
              <w:t xml:space="preserve">Presión atmosférica: 760 </w:t>
            </w:r>
            <w:proofErr w:type="spellStart"/>
            <w:r>
              <w:rPr>
                <w:rFonts w:ascii="Arial Narrow" w:hAnsi="Arial Narrow"/>
                <w:color w:val="000000"/>
                <w:sz w:val="22"/>
              </w:rPr>
              <w:t>mmHg</w:t>
            </w:r>
            <w:proofErr w:type="spellEnd"/>
            <w:r>
              <w:rPr>
                <w:rFonts w:ascii="Arial Narrow" w:hAnsi="Arial Narrow"/>
                <w:color w:val="000000"/>
                <w:sz w:val="22"/>
              </w:rPr>
              <w:t xml:space="preserve"> a 429 </w:t>
            </w:r>
            <w:proofErr w:type="spellStart"/>
            <w:r>
              <w:rPr>
                <w:rFonts w:ascii="Arial Narrow" w:hAnsi="Arial Narrow"/>
                <w:color w:val="000000"/>
                <w:sz w:val="22"/>
              </w:rPr>
              <w:t>mmHg</w:t>
            </w:r>
            <w:proofErr w:type="spellEnd"/>
            <w:r>
              <w:rPr>
                <w:rFonts w:ascii="Arial Narrow" w:hAnsi="Arial Narrow"/>
                <w:color w:val="000000"/>
                <w:sz w:val="22"/>
              </w:rPr>
              <w:t>, 0 a 4.570 metros sobre el nivel del mar.</w:t>
            </w:r>
          </w:p>
          <w:p w:rsidR="00BE2B0B" w:rsidRDefault="00BE2B0B">
            <w:pPr>
              <w:ind w:left="360"/>
              <w:rPr>
                <w:rFonts w:ascii="Arial Narrow" w:hAnsi="Arial Narrow"/>
                <w:color w:val="000000"/>
                <w:sz w:val="22"/>
              </w:rPr>
            </w:pPr>
            <w:r>
              <w:rPr>
                <w:rFonts w:ascii="Arial Narrow" w:hAnsi="Arial Narrow"/>
                <w:color w:val="000000"/>
                <w:sz w:val="22"/>
              </w:rPr>
              <w:t>Humedad relativa: 5 a 95% (sin condensación).</w:t>
            </w:r>
          </w:p>
          <w:p w:rsidR="00BE2B0B" w:rsidRDefault="00BE2B0B">
            <w:pPr>
              <w:ind w:left="360"/>
              <w:rPr>
                <w:rFonts w:ascii="Arial Narrow" w:hAnsi="Arial Narrow"/>
                <w:color w:val="000000"/>
                <w:sz w:val="22"/>
              </w:rPr>
            </w:pPr>
            <w:r>
              <w:rPr>
                <w:rFonts w:ascii="Arial Narrow" w:hAnsi="Arial Narrow"/>
                <w:color w:val="000000"/>
                <w:sz w:val="22"/>
              </w:rPr>
              <w:t>Resistencia al agua: IEC60529/EN60529 IPX4 “a prueba de salpicaduras”, con los electrodos conectados.</w:t>
            </w:r>
          </w:p>
          <w:p w:rsidR="00BE2B0B" w:rsidRDefault="00BE2B0B">
            <w:pPr>
              <w:ind w:left="360"/>
              <w:rPr>
                <w:rFonts w:ascii="Arial Narrow" w:hAnsi="Arial Narrow"/>
                <w:color w:val="000000"/>
                <w:sz w:val="22"/>
              </w:rPr>
            </w:pPr>
            <w:r>
              <w:rPr>
                <w:rFonts w:ascii="Arial Narrow" w:hAnsi="Arial Narrow"/>
                <w:color w:val="000000"/>
                <w:sz w:val="22"/>
              </w:rPr>
              <w:t>Descarga: MIL-STD-810E, método 516.4, procedimiento 1, (40 g, impulso de 6-9 m/</w:t>
            </w:r>
            <w:proofErr w:type="spellStart"/>
            <w:r>
              <w:rPr>
                <w:rFonts w:ascii="Arial Narrow" w:hAnsi="Arial Narrow"/>
                <w:color w:val="000000"/>
                <w:sz w:val="22"/>
              </w:rPr>
              <w:t>seg</w:t>
            </w:r>
            <w:proofErr w:type="spellEnd"/>
            <w:r>
              <w:rPr>
                <w:rFonts w:ascii="Arial Narrow" w:hAnsi="Arial Narrow"/>
                <w:color w:val="000000"/>
                <w:sz w:val="22"/>
              </w:rPr>
              <w:t xml:space="preserve">, </w:t>
            </w:r>
            <w:proofErr w:type="spellStart"/>
            <w:r>
              <w:rPr>
                <w:rFonts w:ascii="Arial Narrow" w:hAnsi="Arial Narrow"/>
                <w:color w:val="000000"/>
                <w:sz w:val="22"/>
              </w:rPr>
              <w:t>semi</w:t>
            </w:r>
            <w:proofErr w:type="spellEnd"/>
            <w:r>
              <w:rPr>
                <w:rFonts w:ascii="Arial Narrow" w:hAnsi="Arial Narrow"/>
                <w:color w:val="000000"/>
                <w:sz w:val="22"/>
              </w:rPr>
              <w:t xml:space="preserve"> seno en cada eje).</w:t>
            </w:r>
          </w:p>
          <w:p w:rsidR="00BE2B0B" w:rsidRDefault="00BE2B0B">
            <w:pPr>
              <w:ind w:left="360"/>
              <w:rPr>
                <w:rFonts w:ascii="Arial Narrow" w:hAnsi="Arial Narrow"/>
                <w:color w:val="000000"/>
                <w:sz w:val="22"/>
              </w:rPr>
            </w:pPr>
            <w:r>
              <w:rPr>
                <w:rFonts w:ascii="Arial Narrow" w:hAnsi="Arial Narrow"/>
                <w:color w:val="000000"/>
                <w:sz w:val="22"/>
              </w:rPr>
              <w:t xml:space="preserve">Vibraciones: MIL-STD-810E, método 514.4, helicópteros - categoría 6 (3,75 </w:t>
            </w:r>
            <w:proofErr w:type="spellStart"/>
            <w:r>
              <w:rPr>
                <w:rFonts w:ascii="Arial Narrow" w:hAnsi="Arial Narrow"/>
                <w:color w:val="000000"/>
                <w:sz w:val="22"/>
              </w:rPr>
              <w:t>Grms</w:t>
            </w:r>
            <w:proofErr w:type="spellEnd"/>
            <w:r>
              <w:rPr>
                <w:rFonts w:ascii="Arial Narrow" w:hAnsi="Arial Narrow"/>
                <w:color w:val="000000"/>
                <w:sz w:val="22"/>
              </w:rPr>
              <w:t xml:space="preserve">) y vehículos terrestres - categoría 8 (3,15 </w:t>
            </w:r>
            <w:proofErr w:type="spellStart"/>
            <w:r>
              <w:rPr>
                <w:rFonts w:ascii="Arial Narrow" w:hAnsi="Arial Narrow"/>
                <w:color w:val="000000"/>
                <w:sz w:val="22"/>
              </w:rPr>
              <w:t>Grms</w:t>
            </w:r>
            <w:proofErr w:type="spellEnd"/>
            <w:r>
              <w:rPr>
                <w:rFonts w:ascii="Arial Narrow" w:hAnsi="Arial Narrow"/>
                <w:color w:val="000000"/>
                <w:sz w:val="22"/>
              </w:rPr>
              <w:t>).</w:t>
            </w:r>
          </w:p>
          <w:p w:rsidR="00BE2B0B" w:rsidRDefault="00BE2B0B">
            <w:pPr>
              <w:ind w:left="360"/>
              <w:rPr>
                <w:rFonts w:ascii="Arial Narrow" w:hAnsi="Arial Narrow"/>
                <w:color w:val="000000"/>
                <w:sz w:val="22"/>
              </w:rPr>
            </w:pPr>
            <w:r>
              <w:rPr>
                <w:rFonts w:ascii="Arial Narrow" w:hAnsi="Arial Narrow"/>
                <w:color w:val="000000"/>
                <w:sz w:val="22"/>
              </w:rPr>
              <w:t>Opciones de configuración:</w:t>
            </w:r>
          </w:p>
          <w:p w:rsidR="00BE2B0B" w:rsidRDefault="00BE2B0B">
            <w:pPr>
              <w:ind w:left="360"/>
              <w:rPr>
                <w:rFonts w:ascii="Arial Narrow" w:hAnsi="Arial Narrow"/>
                <w:color w:val="000000"/>
                <w:sz w:val="22"/>
              </w:rPr>
            </w:pPr>
            <w:r>
              <w:rPr>
                <w:rFonts w:ascii="Arial Narrow" w:hAnsi="Arial Narrow"/>
                <w:color w:val="000000"/>
                <w:sz w:val="22"/>
              </w:rPr>
              <w:t>Secuencia de energía: El usuario puede elegir una secuencia de energía flexible, que se corresponda con el protocolo de energía que se desea aplicar (por ejemplo, 150 J, 200 J, 300 J, 360 J)</w:t>
            </w:r>
          </w:p>
          <w:p w:rsidR="00BE2B0B" w:rsidRDefault="00BE2B0B">
            <w:pPr>
              <w:ind w:left="360"/>
              <w:rPr>
                <w:rFonts w:ascii="Arial Narrow" w:hAnsi="Arial Narrow"/>
                <w:color w:val="000000"/>
                <w:sz w:val="22"/>
              </w:rPr>
            </w:pPr>
            <w:r>
              <w:rPr>
                <w:rFonts w:ascii="Arial Narrow" w:hAnsi="Arial Narrow"/>
                <w:color w:val="000000"/>
                <w:sz w:val="22"/>
              </w:rPr>
              <w:t>Detección de movimiento: el sistema de detección de movimiento puede desactivarse o activarse durante el análisis.</w:t>
            </w:r>
          </w:p>
          <w:p w:rsidR="00BE2B0B" w:rsidRDefault="00BE2B0B">
            <w:pPr>
              <w:ind w:left="360"/>
              <w:rPr>
                <w:rFonts w:ascii="Arial Narrow" w:hAnsi="Arial Narrow"/>
                <w:color w:val="000000"/>
                <w:sz w:val="22"/>
              </w:rPr>
            </w:pPr>
            <w:r>
              <w:rPr>
                <w:rFonts w:ascii="Arial Narrow" w:hAnsi="Arial Narrow"/>
                <w:color w:val="000000"/>
                <w:sz w:val="22"/>
              </w:rPr>
              <w:t>Protocolo energía: el usuario puede configurar el desfibrilador para que aumente la energía después de cada descarga o sólo cuando una descarga de energía más baja no haya tenido éxito.</w:t>
            </w:r>
          </w:p>
          <w:p w:rsidR="00BE2B0B" w:rsidRDefault="00BE2B0B">
            <w:pPr>
              <w:ind w:left="360"/>
              <w:rPr>
                <w:rFonts w:ascii="Arial Narrow" w:hAnsi="Arial Narrow"/>
                <w:color w:val="000000"/>
                <w:sz w:val="22"/>
              </w:rPr>
            </w:pPr>
            <w:r>
              <w:rPr>
                <w:rFonts w:ascii="Arial Narrow" w:hAnsi="Arial Narrow"/>
                <w:color w:val="000000"/>
                <w:sz w:val="22"/>
              </w:rPr>
              <w:t>Indicador Encender: La opción del indicador Encender permite al usuario seleccionar el estilo del indicador al encender el dispositivo.</w:t>
            </w:r>
          </w:p>
          <w:p w:rsidR="00BE2B0B" w:rsidRDefault="00BE2B0B">
            <w:pPr>
              <w:ind w:left="360"/>
              <w:rPr>
                <w:rFonts w:ascii="Arial Narrow" w:hAnsi="Arial Narrow"/>
                <w:color w:val="000000"/>
                <w:sz w:val="22"/>
              </w:rPr>
            </w:pPr>
            <w:r>
              <w:rPr>
                <w:rFonts w:ascii="Arial Narrow" w:hAnsi="Arial Narrow"/>
                <w:color w:val="000000"/>
                <w:sz w:val="22"/>
              </w:rPr>
              <w:t>Tiempo de RCP: Se puede establecer el tiempo de RCP para que coincida con el protocolo local.</w:t>
            </w:r>
          </w:p>
          <w:p w:rsidR="00BE2B0B" w:rsidRDefault="00BE2B0B">
            <w:pPr>
              <w:ind w:left="360"/>
              <w:rPr>
                <w:rFonts w:ascii="Arial Narrow" w:hAnsi="Arial Narrow"/>
                <w:color w:val="000000"/>
                <w:sz w:val="22"/>
              </w:rPr>
            </w:pPr>
            <w:r>
              <w:rPr>
                <w:rFonts w:ascii="Arial Narrow" w:hAnsi="Arial Narrow"/>
                <w:color w:val="000000"/>
                <w:sz w:val="22"/>
              </w:rPr>
              <w:t>Indicador pulso: La opción del indicador de pulso permite al usuario seleccionar el mensaje audible para la</w:t>
            </w:r>
          </w:p>
          <w:p w:rsidR="00BE2B0B" w:rsidRDefault="00BE2B0B">
            <w:pPr>
              <w:ind w:left="360"/>
              <w:rPr>
                <w:rFonts w:ascii="Arial Narrow" w:hAnsi="Arial Narrow"/>
                <w:color w:val="000000"/>
                <w:sz w:val="22"/>
              </w:rPr>
            </w:pPr>
            <w:r>
              <w:rPr>
                <w:rFonts w:ascii="Arial Narrow" w:hAnsi="Arial Narrow"/>
                <w:color w:val="000000"/>
                <w:sz w:val="22"/>
              </w:rPr>
              <w:t xml:space="preserve">recomendación de RCP, según las Directrices 2000, recomendadas por la American </w:t>
            </w:r>
            <w:proofErr w:type="spellStart"/>
            <w:r>
              <w:rPr>
                <w:rFonts w:ascii="Arial Narrow" w:hAnsi="Arial Narrow"/>
                <w:color w:val="000000"/>
                <w:sz w:val="22"/>
              </w:rPr>
              <w:t>Heart</w:t>
            </w:r>
            <w:proofErr w:type="spellEnd"/>
            <w:r>
              <w:rPr>
                <w:rFonts w:ascii="Arial Narrow" w:hAnsi="Arial Narrow"/>
                <w:color w:val="000000"/>
                <w:sz w:val="22"/>
              </w:rPr>
              <w:t xml:space="preserve"> </w:t>
            </w:r>
            <w:proofErr w:type="spellStart"/>
            <w:r>
              <w:rPr>
                <w:rFonts w:ascii="Arial Narrow" w:hAnsi="Arial Narrow"/>
                <w:color w:val="000000"/>
                <w:sz w:val="22"/>
              </w:rPr>
              <w:t>Association</w:t>
            </w:r>
            <w:proofErr w:type="spellEnd"/>
            <w:r>
              <w:rPr>
                <w:rFonts w:ascii="Arial Narrow" w:hAnsi="Arial Narrow"/>
                <w:color w:val="000000"/>
                <w:sz w:val="22"/>
              </w:rPr>
              <w:t xml:space="preserve"> (AHA) y el</w:t>
            </w:r>
          </w:p>
          <w:p w:rsidR="00BE2B0B" w:rsidRPr="00BE2B0B" w:rsidRDefault="00BE2B0B">
            <w:pPr>
              <w:ind w:left="360"/>
              <w:rPr>
                <w:rFonts w:ascii="Arial Narrow" w:hAnsi="Arial Narrow"/>
                <w:color w:val="000000"/>
                <w:sz w:val="22"/>
                <w:lang w:val="en-US"/>
              </w:rPr>
            </w:pPr>
            <w:r w:rsidRPr="00BE2B0B">
              <w:rPr>
                <w:rFonts w:ascii="Arial Narrow" w:hAnsi="Arial Narrow"/>
                <w:color w:val="000000"/>
                <w:sz w:val="22"/>
                <w:lang w:val="en-US"/>
              </w:rPr>
              <w:t>International Liaison Committee on Resuscitation (ILCOR).</w:t>
            </w:r>
          </w:p>
          <w:p w:rsidR="00BE2B0B" w:rsidRDefault="00BE2B0B">
            <w:pPr>
              <w:ind w:left="360"/>
              <w:rPr>
                <w:rFonts w:ascii="Arial Narrow" w:hAnsi="Arial Narrow"/>
                <w:color w:val="000000"/>
                <w:sz w:val="22"/>
              </w:rPr>
            </w:pPr>
            <w:r>
              <w:rPr>
                <w:rFonts w:ascii="Arial Narrow" w:hAnsi="Arial Narrow"/>
                <w:color w:val="000000"/>
                <w:sz w:val="22"/>
              </w:rPr>
              <w:t>Volumen mensaje audible: Esta opción permite cambiar el volumen de los altavoces.</w:t>
            </w:r>
          </w:p>
          <w:p w:rsidR="00BE2B0B" w:rsidRDefault="00BE2B0B">
            <w:pPr>
              <w:ind w:left="360"/>
              <w:rPr>
                <w:rFonts w:ascii="Arial Narrow" w:hAnsi="Arial Narrow"/>
                <w:color w:val="000000"/>
                <w:sz w:val="22"/>
              </w:rPr>
            </w:pPr>
            <w:r>
              <w:rPr>
                <w:rFonts w:ascii="Arial Narrow" w:hAnsi="Arial Narrow"/>
                <w:color w:val="000000"/>
                <w:sz w:val="22"/>
              </w:rPr>
              <w:t>Fecha/hora: Permite cambiar la fecha y la hora.</w:t>
            </w:r>
          </w:p>
          <w:p w:rsidR="00BE2B0B" w:rsidRDefault="00BE2B0B">
            <w:pPr>
              <w:ind w:left="360"/>
              <w:rPr>
                <w:rFonts w:ascii="Arial Narrow" w:hAnsi="Arial Narrow"/>
                <w:color w:val="000000"/>
                <w:sz w:val="22"/>
              </w:rPr>
            </w:pPr>
            <w:r>
              <w:rPr>
                <w:rFonts w:ascii="Arial Narrow" w:hAnsi="Arial Narrow"/>
                <w:color w:val="000000"/>
                <w:sz w:val="22"/>
              </w:rPr>
              <w:t>ID del equipo: Esta función asigna un identificador único a un equipo específico; este identificador se imprime en todos los informes.</w:t>
            </w:r>
          </w:p>
          <w:p w:rsidR="00BE2B0B" w:rsidRDefault="00BE2B0B">
            <w:pPr>
              <w:ind w:left="360"/>
              <w:rPr>
                <w:rFonts w:ascii="Arial Narrow" w:hAnsi="Arial Narrow"/>
                <w:b/>
                <w:color w:val="000000"/>
                <w:sz w:val="22"/>
              </w:rPr>
            </w:pPr>
          </w:p>
          <w:p w:rsidR="00BE2B0B" w:rsidRDefault="00BE2B0B">
            <w:pPr>
              <w:ind w:left="360"/>
              <w:rPr>
                <w:rFonts w:ascii="Arial Narrow" w:hAnsi="Arial Narrow"/>
                <w:b/>
                <w:color w:val="000000"/>
                <w:sz w:val="22"/>
              </w:rPr>
            </w:pPr>
            <w:r>
              <w:rPr>
                <w:rFonts w:ascii="Arial Narrow" w:hAnsi="Arial Narrow"/>
                <w:b/>
                <w:color w:val="000000"/>
                <w:sz w:val="22"/>
              </w:rPr>
              <w:t>Accesorios:</w:t>
            </w:r>
          </w:p>
          <w:p w:rsidR="00BE2B0B" w:rsidRDefault="00BE2B0B">
            <w:pPr>
              <w:ind w:left="360"/>
              <w:rPr>
                <w:rFonts w:ascii="Arial Narrow" w:hAnsi="Arial Narrow"/>
                <w:color w:val="000000"/>
                <w:sz w:val="22"/>
              </w:rPr>
            </w:pPr>
            <w:r>
              <w:rPr>
                <w:rFonts w:ascii="Arial Narrow" w:hAnsi="Arial Narrow"/>
                <w:color w:val="000000"/>
                <w:sz w:val="22"/>
                <w:u w:val="single"/>
              </w:rPr>
              <w:t>Cargador de la batería</w:t>
            </w:r>
            <w:r>
              <w:rPr>
                <w:rFonts w:ascii="Arial Narrow" w:hAnsi="Arial Narrow"/>
                <w:color w:val="000000"/>
                <w:sz w:val="22"/>
              </w:rPr>
              <w:t xml:space="preserve">  Tipo: Li/SO2Cl2 (</w:t>
            </w:r>
            <w:proofErr w:type="spellStart"/>
            <w:r>
              <w:rPr>
                <w:rFonts w:ascii="Arial Narrow" w:hAnsi="Arial Narrow"/>
                <w:color w:val="000000"/>
                <w:sz w:val="22"/>
              </w:rPr>
              <w:t>sulfuril</w:t>
            </w:r>
            <w:proofErr w:type="spellEnd"/>
            <w:r>
              <w:rPr>
                <w:rFonts w:ascii="Arial Narrow" w:hAnsi="Arial Narrow"/>
                <w:color w:val="000000"/>
                <w:sz w:val="22"/>
              </w:rPr>
              <w:t xml:space="preserve"> cloruro de litio), 11,7 V, 1,4 </w:t>
            </w:r>
            <w:proofErr w:type="spellStart"/>
            <w:r>
              <w:rPr>
                <w:rFonts w:ascii="Arial Narrow" w:hAnsi="Arial Narrow"/>
                <w:color w:val="000000"/>
                <w:sz w:val="22"/>
              </w:rPr>
              <w:t>Amp</w:t>
            </w:r>
            <w:proofErr w:type="spellEnd"/>
            <w:r>
              <w:rPr>
                <w:rFonts w:ascii="Arial Narrow" w:hAnsi="Arial Narrow"/>
                <w:color w:val="000000"/>
                <w:sz w:val="22"/>
              </w:rPr>
              <w:t>-horas.</w:t>
            </w:r>
          </w:p>
          <w:p w:rsidR="00BE2B0B" w:rsidRDefault="00BE2B0B">
            <w:pPr>
              <w:ind w:left="360"/>
              <w:rPr>
                <w:rFonts w:ascii="Arial Narrow" w:hAnsi="Arial Narrow"/>
                <w:color w:val="000000"/>
                <w:sz w:val="22"/>
              </w:rPr>
            </w:pPr>
            <w:r>
              <w:rPr>
                <w:rFonts w:ascii="Arial Narrow" w:hAnsi="Arial Narrow"/>
                <w:color w:val="000000"/>
                <w:sz w:val="22"/>
              </w:rPr>
              <w:t>Sustitución: Cambiar después de cada uso en un paciente o cuando esté visible el indicador CHARGE-PAK, lo cual sucede habitualmente después de dos (2) años.</w:t>
            </w:r>
          </w:p>
          <w:p w:rsidR="00BE2B0B" w:rsidRDefault="00BE2B0B">
            <w:pPr>
              <w:ind w:left="360"/>
              <w:rPr>
                <w:rFonts w:ascii="Arial Narrow" w:hAnsi="Arial Narrow"/>
                <w:color w:val="000000"/>
                <w:sz w:val="22"/>
              </w:rPr>
            </w:pPr>
            <w:r>
              <w:rPr>
                <w:rFonts w:ascii="Arial Narrow" w:hAnsi="Arial Narrow"/>
                <w:color w:val="000000"/>
                <w:sz w:val="22"/>
              </w:rPr>
              <w:t>Peso: 80,5 gramos.</w:t>
            </w:r>
          </w:p>
          <w:p w:rsidR="00BE2B0B" w:rsidRDefault="00BE2B0B">
            <w:pPr>
              <w:ind w:left="360"/>
              <w:rPr>
                <w:rFonts w:ascii="Arial Narrow" w:hAnsi="Arial Narrow"/>
                <w:color w:val="000000"/>
                <w:sz w:val="22"/>
              </w:rPr>
            </w:pPr>
            <w:r>
              <w:rPr>
                <w:rFonts w:ascii="Arial Narrow" w:hAnsi="Arial Narrow"/>
                <w:color w:val="000000"/>
                <w:sz w:val="22"/>
                <w:u w:val="single"/>
              </w:rPr>
              <w:t>Electrodos</w:t>
            </w:r>
            <w:r>
              <w:rPr>
                <w:rFonts w:ascii="Arial Narrow" w:hAnsi="Arial Narrow"/>
                <w:color w:val="000000"/>
                <w:sz w:val="22"/>
              </w:rPr>
              <w:t xml:space="preserve"> </w:t>
            </w:r>
          </w:p>
          <w:p w:rsidR="00BE2B0B" w:rsidRDefault="00BE2B0B">
            <w:pPr>
              <w:ind w:left="360"/>
              <w:rPr>
                <w:rFonts w:ascii="Arial Narrow" w:hAnsi="Arial Narrow"/>
                <w:color w:val="000000"/>
                <w:sz w:val="22"/>
              </w:rPr>
            </w:pPr>
            <w:r>
              <w:rPr>
                <w:rFonts w:ascii="Arial Narrow" w:hAnsi="Arial Narrow"/>
                <w:color w:val="000000"/>
                <w:sz w:val="22"/>
              </w:rPr>
              <w:t>Electrodos: El ECG se recibe a través de los electrodos de desfibrilación desechables, en colocación estándar</w:t>
            </w:r>
          </w:p>
          <w:p w:rsidR="00BE2B0B" w:rsidRDefault="00BE2B0B">
            <w:pPr>
              <w:ind w:left="360"/>
              <w:rPr>
                <w:rFonts w:ascii="Arial Narrow" w:hAnsi="Arial Narrow"/>
                <w:color w:val="000000"/>
                <w:sz w:val="22"/>
              </w:rPr>
            </w:pPr>
            <w:r>
              <w:rPr>
                <w:rFonts w:ascii="Arial Narrow" w:hAnsi="Arial Narrow"/>
                <w:color w:val="000000"/>
                <w:sz w:val="22"/>
              </w:rPr>
              <w:t>(anterior-lateral).</w:t>
            </w:r>
          </w:p>
          <w:p w:rsidR="00BE2B0B" w:rsidRDefault="00BE2B0B">
            <w:pPr>
              <w:ind w:left="360"/>
              <w:rPr>
                <w:rFonts w:ascii="Arial Narrow" w:hAnsi="Arial Narrow"/>
                <w:color w:val="000000"/>
                <w:sz w:val="22"/>
              </w:rPr>
            </w:pPr>
            <w:r>
              <w:rPr>
                <w:rFonts w:ascii="Arial Narrow" w:hAnsi="Arial Narrow"/>
                <w:color w:val="000000"/>
                <w:sz w:val="22"/>
              </w:rPr>
              <w:t>Envoltorio de los electrodos: permite conservar los electrodos pre conectados al equipo y protegidos bajo la cubierta superior.</w:t>
            </w:r>
          </w:p>
          <w:p w:rsidR="00BE2B0B" w:rsidRDefault="00BE2B0B">
            <w:pPr>
              <w:ind w:left="360"/>
              <w:rPr>
                <w:rFonts w:ascii="Arial Narrow" w:hAnsi="Arial Narrow"/>
                <w:color w:val="000000"/>
                <w:sz w:val="22"/>
              </w:rPr>
            </w:pPr>
            <w:r>
              <w:rPr>
                <w:rFonts w:ascii="Arial Narrow" w:hAnsi="Arial Narrow"/>
                <w:color w:val="000000"/>
                <w:sz w:val="22"/>
              </w:rPr>
              <w:t>Sustitución de los electrodos: cambiar cada dos (2) años.</w:t>
            </w:r>
          </w:p>
          <w:p w:rsidR="00BE2B0B" w:rsidRDefault="00BE2B0B">
            <w:pPr>
              <w:ind w:left="360"/>
              <w:rPr>
                <w:rFonts w:ascii="Arial Narrow" w:hAnsi="Arial Narrow"/>
                <w:color w:val="000000"/>
                <w:sz w:val="22"/>
                <w:u w:val="single"/>
              </w:rPr>
            </w:pPr>
            <w:r>
              <w:rPr>
                <w:rFonts w:ascii="Arial Narrow" w:hAnsi="Arial Narrow"/>
                <w:color w:val="000000"/>
                <w:sz w:val="22"/>
                <w:u w:val="single"/>
              </w:rPr>
              <w:t>Almacenamiento de datos:</w:t>
            </w:r>
          </w:p>
          <w:p w:rsidR="00BE2B0B" w:rsidRDefault="00BE2B0B">
            <w:pPr>
              <w:ind w:left="360"/>
              <w:rPr>
                <w:rFonts w:ascii="Arial Narrow" w:hAnsi="Arial Narrow"/>
                <w:color w:val="000000"/>
                <w:sz w:val="22"/>
              </w:rPr>
            </w:pPr>
            <w:r>
              <w:rPr>
                <w:rFonts w:ascii="Arial Narrow" w:hAnsi="Arial Narrow"/>
                <w:color w:val="000000"/>
                <w:sz w:val="22"/>
              </w:rPr>
              <w:t>Tipo de memoria: memoria digital interna.</w:t>
            </w:r>
          </w:p>
          <w:p w:rsidR="00BE2B0B" w:rsidRDefault="00BE2B0B">
            <w:pPr>
              <w:ind w:left="360"/>
              <w:rPr>
                <w:rFonts w:ascii="Arial Narrow" w:hAnsi="Arial Narrow"/>
                <w:color w:val="000000"/>
                <w:sz w:val="22"/>
              </w:rPr>
            </w:pPr>
            <w:r>
              <w:rPr>
                <w:rFonts w:ascii="Arial Narrow" w:hAnsi="Arial Narrow"/>
                <w:color w:val="000000"/>
                <w:sz w:val="22"/>
              </w:rPr>
              <w:t>Almacenamiento de ECG: almacenamiento de datos de dos pacientes. Se almacena un mínimo de 20 minutos de ECG del paciente actual y los datos resumidos del paciente anterior.</w:t>
            </w:r>
          </w:p>
          <w:p w:rsidR="00BE2B0B" w:rsidRDefault="00BE2B0B">
            <w:pPr>
              <w:ind w:left="360"/>
              <w:rPr>
                <w:rFonts w:ascii="Arial Narrow" w:hAnsi="Arial Narrow"/>
                <w:color w:val="000000"/>
                <w:sz w:val="22"/>
              </w:rPr>
            </w:pPr>
            <w:r>
              <w:rPr>
                <w:rFonts w:ascii="Arial Narrow" w:hAnsi="Arial Narrow"/>
                <w:color w:val="000000"/>
                <w:sz w:val="22"/>
              </w:rPr>
              <w:t>Tipos de informes:</w:t>
            </w:r>
          </w:p>
          <w:p w:rsidR="00BE2B0B" w:rsidRDefault="00BE2B0B">
            <w:pPr>
              <w:ind w:left="360"/>
              <w:rPr>
                <w:rFonts w:ascii="Arial Narrow" w:hAnsi="Arial Narrow"/>
                <w:color w:val="000000"/>
                <w:sz w:val="22"/>
              </w:rPr>
            </w:pPr>
            <w:r>
              <w:rPr>
                <w:rFonts w:ascii="Arial Narrow" w:hAnsi="Arial Narrow"/>
                <w:color w:val="000000"/>
                <w:sz w:val="22"/>
              </w:rPr>
              <w:t xml:space="preserve">• ECG continuo: Un informe </w:t>
            </w:r>
            <w:proofErr w:type="gramStart"/>
            <w:r>
              <w:rPr>
                <w:rFonts w:ascii="Arial Narrow" w:hAnsi="Arial Narrow"/>
                <w:color w:val="000000"/>
                <w:sz w:val="22"/>
              </w:rPr>
              <w:t>continuo</w:t>
            </w:r>
            <w:proofErr w:type="gramEnd"/>
            <w:r>
              <w:rPr>
                <w:rFonts w:ascii="Arial Narrow" w:hAnsi="Arial Narrow"/>
                <w:color w:val="000000"/>
                <w:sz w:val="22"/>
              </w:rPr>
              <w:t xml:space="preserve"> del ECG del paciente.</w:t>
            </w:r>
          </w:p>
          <w:p w:rsidR="00BE2B0B" w:rsidRDefault="00BE2B0B">
            <w:pPr>
              <w:ind w:left="360"/>
              <w:rPr>
                <w:rFonts w:ascii="Arial Narrow" w:hAnsi="Arial Narrow"/>
                <w:color w:val="000000"/>
                <w:sz w:val="22"/>
              </w:rPr>
            </w:pPr>
            <w:r>
              <w:rPr>
                <w:rFonts w:ascii="Arial Narrow" w:hAnsi="Arial Narrow"/>
                <w:color w:val="000000"/>
                <w:sz w:val="22"/>
              </w:rPr>
              <w:t>• Informe de resumen continuo: Un resumen de los sucesos de reanimación críticos y de los segmentos de forma de onda del ECG asociados a estos sucesos.</w:t>
            </w:r>
          </w:p>
          <w:p w:rsidR="00BE2B0B" w:rsidRDefault="00BE2B0B">
            <w:pPr>
              <w:ind w:left="360"/>
              <w:rPr>
                <w:rFonts w:ascii="Arial Narrow" w:hAnsi="Arial Narrow"/>
                <w:color w:val="000000"/>
                <w:sz w:val="22"/>
              </w:rPr>
            </w:pPr>
            <w:r>
              <w:rPr>
                <w:rFonts w:ascii="Arial Narrow" w:hAnsi="Arial Narrow"/>
                <w:color w:val="000000"/>
                <w:sz w:val="22"/>
              </w:rPr>
              <w:lastRenderedPageBreak/>
              <w:t>• Informe del registro de sucesos: Un informe de marcadores y la hora, que refleja las actividades del usuario y del equipo.</w:t>
            </w:r>
          </w:p>
          <w:p w:rsidR="00BE2B0B" w:rsidRDefault="00BE2B0B">
            <w:pPr>
              <w:ind w:left="360"/>
              <w:rPr>
                <w:rFonts w:ascii="Arial Narrow" w:hAnsi="Arial Narrow"/>
                <w:color w:val="000000"/>
                <w:sz w:val="22"/>
              </w:rPr>
            </w:pPr>
            <w:r>
              <w:rPr>
                <w:rFonts w:ascii="Arial Narrow" w:hAnsi="Arial Narrow"/>
                <w:color w:val="000000"/>
                <w:sz w:val="22"/>
              </w:rPr>
              <w:t>• Informe del registro de comprobaciones: Un informe de las actividades de autocomprobación del equipo.</w:t>
            </w:r>
          </w:p>
          <w:p w:rsidR="00BE2B0B" w:rsidRDefault="00BE2B0B">
            <w:pPr>
              <w:ind w:left="360"/>
              <w:rPr>
                <w:rFonts w:ascii="Arial Narrow" w:hAnsi="Arial Narrow"/>
                <w:color w:val="000000"/>
                <w:sz w:val="22"/>
              </w:rPr>
            </w:pPr>
            <w:r>
              <w:rPr>
                <w:rFonts w:ascii="Arial Narrow" w:hAnsi="Arial Narrow"/>
                <w:color w:val="000000"/>
                <w:sz w:val="22"/>
              </w:rPr>
              <w:t>Capacidad: Mínimo 200 marcadores del registro de sucesos con la hora.</w:t>
            </w:r>
          </w:p>
          <w:p w:rsidR="00BE2B0B" w:rsidRDefault="00BE2B0B">
            <w:pPr>
              <w:ind w:left="360"/>
              <w:rPr>
                <w:rFonts w:ascii="Arial Narrow" w:hAnsi="Arial Narrow"/>
                <w:color w:val="000000"/>
                <w:sz w:val="22"/>
              </w:rPr>
            </w:pPr>
            <w:r>
              <w:rPr>
                <w:rFonts w:ascii="Arial Narrow" w:hAnsi="Arial Narrow"/>
                <w:color w:val="000000"/>
                <w:sz w:val="22"/>
              </w:rPr>
              <w:t>Comunicaciones: Transferencia inalámbrica a un ordenador personal.</w:t>
            </w:r>
          </w:p>
          <w:p w:rsidR="00BE2B0B" w:rsidRDefault="00BE2B0B">
            <w:pPr>
              <w:ind w:left="360"/>
              <w:rPr>
                <w:rFonts w:ascii="Arial Narrow" w:hAnsi="Arial Narrow"/>
                <w:color w:val="000000"/>
                <w:sz w:val="22"/>
              </w:rPr>
            </w:pPr>
            <w:r>
              <w:rPr>
                <w:rFonts w:ascii="Arial Narrow" w:hAnsi="Arial Narrow"/>
                <w:color w:val="000000"/>
                <w:sz w:val="22"/>
              </w:rPr>
              <w:t>Revisión de datos: Proporciona varias herramientas para satisfacer las necesidades de visualización y análisis de datos de los clientes.</w:t>
            </w:r>
          </w:p>
          <w:p w:rsidR="00BE2B0B" w:rsidRDefault="00BE2B0B">
            <w:pPr>
              <w:ind w:left="360"/>
              <w:rPr>
                <w:rFonts w:ascii="Arial Narrow" w:hAnsi="Arial Narrow"/>
                <w:color w:val="000000"/>
                <w:sz w:val="22"/>
              </w:rPr>
            </w:pPr>
            <w:r>
              <w:rPr>
                <w:rFonts w:ascii="Arial Narrow" w:hAnsi="Arial Narrow"/>
                <w:color w:val="000000"/>
                <w:sz w:val="22"/>
              </w:rPr>
              <w:t>* Las especificaciones se aplican entre 25 y 200 ohmios.</w:t>
            </w:r>
          </w:p>
          <w:p w:rsidR="00BE2B0B" w:rsidRDefault="00BE2B0B">
            <w:pPr>
              <w:ind w:left="360"/>
              <w:rPr>
                <w:rFonts w:ascii="Arial Narrow" w:hAnsi="Arial Narrow"/>
                <w:color w:val="000000"/>
                <w:sz w:val="22"/>
              </w:rPr>
            </w:pPr>
            <w:r>
              <w:rPr>
                <w:rFonts w:ascii="Arial Narrow" w:hAnsi="Arial Narrow"/>
                <w:color w:val="000000"/>
                <w:sz w:val="22"/>
              </w:rPr>
              <w:t>La compensación de voltaje se limita al voltaje que resultaría de administrar 360 julios a 50 ohmios.</w:t>
            </w:r>
          </w:p>
          <w:p w:rsidR="00BE2B0B" w:rsidRDefault="00BE2B0B">
            <w:pPr>
              <w:pStyle w:val="Default"/>
              <w:ind w:left="351"/>
              <w:rPr>
                <w:rFonts w:ascii="Arial Narrow" w:hAnsi="Arial Narrow"/>
                <w:i/>
                <w:sz w:val="23"/>
                <w:szCs w:val="23"/>
              </w:rPr>
            </w:pPr>
            <w:r>
              <w:rPr>
                <w:rFonts w:ascii="Arial Narrow" w:hAnsi="Arial Narrow"/>
                <w:i/>
                <w:sz w:val="23"/>
                <w:szCs w:val="23"/>
              </w:rPr>
              <w:t>Garantía de 12 meses a partir de la fecha de entrega</w:t>
            </w:r>
          </w:p>
          <w:p w:rsidR="00BE2B0B" w:rsidRDefault="00BE2B0B">
            <w:pPr>
              <w:ind w:left="360"/>
              <w:rPr>
                <w:rFonts w:ascii="Arial Narrow" w:hAnsi="Arial Narrow"/>
                <w:color w:val="000000"/>
                <w:sz w:val="22"/>
              </w:rPr>
            </w:pPr>
          </w:p>
        </w:tc>
      </w:tr>
      <w:tr w:rsidR="00BE2B0B" w:rsidTr="00BE2B0B">
        <w:trPr>
          <w:trHeight w:val="499"/>
          <w:jc w:val="center"/>
        </w:trPr>
        <w:tc>
          <w:tcPr>
            <w:tcW w:w="9650" w:type="dxa"/>
            <w:tcBorders>
              <w:top w:val="single" w:sz="4" w:space="0" w:color="auto"/>
              <w:left w:val="single" w:sz="4" w:space="0" w:color="auto"/>
              <w:bottom w:val="single" w:sz="4" w:space="0" w:color="auto"/>
              <w:right w:val="single" w:sz="4" w:space="0" w:color="auto"/>
            </w:tcBorders>
            <w:vAlign w:val="center"/>
          </w:tcPr>
          <w:p w:rsidR="00BE2B0B" w:rsidRDefault="00BE2B0B" w:rsidP="003518C2">
            <w:pPr>
              <w:pStyle w:val="Prrafodelista"/>
              <w:numPr>
                <w:ilvl w:val="0"/>
                <w:numId w:val="2"/>
              </w:numPr>
              <w:rPr>
                <w:rFonts w:ascii="Arial Narrow" w:hAnsi="Arial Narrow"/>
                <w:b/>
                <w:color w:val="000000"/>
              </w:rPr>
            </w:pPr>
            <w:r>
              <w:rPr>
                <w:rFonts w:ascii="Arial Narrow" w:hAnsi="Arial Narrow"/>
                <w:b/>
                <w:color w:val="000000"/>
              </w:rPr>
              <w:lastRenderedPageBreak/>
              <w:t xml:space="preserve">BALANZA MECÁNICA CON TALLIMETRO CAP. 220 KG </w:t>
            </w:r>
          </w:p>
          <w:p w:rsidR="00BE2B0B" w:rsidRDefault="00BE2B0B" w:rsidP="003518C2">
            <w:pPr>
              <w:pStyle w:val="Prrafodelista"/>
              <w:numPr>
                <w:ilvl w:val="0"/>
                <w:numId w:val="3"/>
              </w:numPr>
              <w:ind w:left="776" w:hanging="425"/>
              <w:rPr>
                <w:rFonts w:ascii="Arial Narrow" w:hAnsi="Arial Narrow"/>
                <w:color w:val="000000"/>
              </w:rPr>
            </w:pPr>
            <w:r>
              <w:rPr>
                <w:rFonts w:ascii="Arial Narrow" w:hAnsi="Arial Narrow"/>
                <w:color w:val="000000"/>
              </w:rPr>
              <w:t xml:space="preserve">Capacidad: 220 kg, 500 </w:t>
            </w:r>
            <w:proofErr w:type="spellStart"/>
            <w:r>
              <w:rPr>
                <w:rFonts w:ascii="Arial Narrow" w:hAnsi="Arial Narrow"/>
                <w:color w:val="000000"/>
              </w:rPr>
              <w:t>lbs</w:t>
            </w:r>
            <w:proofErr w:type="spellEnd"/>
            <w:r>
              <w:rPr>
                <w:rFonts w:ascii="Arial Narrow" w:hAnsi="Arial Narrow"/>
                <w:color w:val="000000"/>
              </w:rPr>
              <w:t xml:space="preserve"> </w:t>
            </w:r>
            <w:proofErr w:type="spellStart"/>
            <w:r>
              <w:rPr>
                <w:rFonts w:ascii="Arial Narrow" w:hAnsi="Arial Narrow"/>
                <w:color w:val="000000"/>
              </w:rPr>
              <w:t>ó</w:t>
            </w:r>
            <w:proofErr w:type="spellEnd"/>
            <w:r>
              <w:rPr>
                <w:rFonts w:ascii="Arial Narrow" w:hAnsi="Arial Narrow"/>
                <w:color w:val="000000"/>
              </w:rPr>
              <w:t xml:space="preserve"> 160 kg / 400 </w:t>
            </w:r>
            <w:proofErr w:type="spellStart"/>
            <w:r>
              <w:rPr>
                <w:rFonts w:ascii="Arial Narrow" w:hAnsi="Arial Narrow"/>
                <w:color w:val="000000"/>
              </w:rPr>
              <w:t>lbs</w:t>
            </w:r>
            <w:proofErr w:type="spellEnd"/>
          </w:p>
          <w:p w:rsidR="00BE2B0B" w:rsidRDefault="00BE2B0B" w:rsidP="003518C2">
            <w:pPr>
              <w:pStyle w:val="Prrafodelista"/>
              <w:numPr>
                <w:ilvl w:val="0"/>
                <w:numId w:val="3"/>
              </w:numPr>
              <w:ind w:left="776" w:hanging="425"/>
              <w:rPr>
                <w:rFonts w:ascii="Arial Narrow" w:hAnsi="Arial Narrow"/>
                <w:color w:val="000000"/>
              </w:rPr>
            </w:pPr>
            <w:r>
              <w:rPr>
                <w:rFonts w:ascii="Arial Narrow" w:hAnsi="Arial Narrow"/>
                <w:color w:val="000000"/>
              </w:rPr>
              <w:t xml:space="preserve">División: 50 g, 1/8 </w:t>
            </w:r>
            <w:proofErr w:type="spellStart"/>
            <w:r>
              <w:rPr>
                <w:rFonts w:ascii="Arial Narrow" w:hAnsi="Arial Narrow"/>
                <w:color w:val="000000"/>
              </w:rPr>
              <w:t>lbs</w:t>
            </w:r>
            <w:proofErr w:type="spellEnd"/>
            <w:r>
              <w:rPr>
                <w:rFonts w:ascii="Arial Narrow" w:hAnsi="Arial Narrow"/>
                <w:color w:val="000000"/>
              </w:rPr>
              <w:t xml:space="preserve"> </w:t>
            </w:r>
            <w:proofErr w:type="spellStart"/>
            <w:r>
              <w:rPr>
                <w:rFonts w:ascii="Arial Narrow" w:hAnsi="Arial Narrow"/>
                <w:color w:val="000000"/>
              </w:rPr>
              <w:t>ó</w:t>
            </w:r>
            <w:proofErr w:type="spellEnd"/>
            <w:r>
              <w:rPr>
                <w:rFonts w:ascii="Arial Narrow" w:hAnsi="Arial Narrow"/>
                <w:color w:val="000000"/>
              </w:rPr>
              <w:t xml:space="preserve"> 100 g / 1/4 </w:t>
            </w:r>
            <w:proofErr w:type="spellStart"/>
            <w:r>
              <w:rPr>
                <w:rFonts w:ascii="Arial Narrow" w:hAnsi="Arial Narrow"/>
                <w:color w:val="000000"/>
              </w:rPr>
              <w:t>lbs</w:t>
            </w:r>
            <w:proofErr w:type="spellEnd"/>
          </w:p>
          <w:p w:rsidR="00BE2B0B" w:rsidRDefault="00BE2B0B" w:rsidP="003518C2">
            <w:pPr>
              <w:pStyle w:val="Prrafodelista"/>
              <w:numPr>
                <w:ilvl w:val="0"/>
                <w:numId w:val="3"/>
              </w:numPr>
              <w:ind w:left="776" w:hanging="425"/>
              <w:rPr>
                <w:rFonts w:ascii="Arial Narrow" w:hAnsi="Arial Narrow"/>
                <w:color w:val="000000"/>
              </w:rPr>
            </w:pPr>
            <w:r>
              <w:rPr>
                <w:rFonts w:ascii="Arial Narrow" w:hAnsi="Arial Narrow"/>
                <w:color w:val="000000"/>
              </w:rPr>
              <w:t>Dimensiones (</w:t>
            </w:r>
            <w:proofErr w:type="spellStart"/>
            <w:r>
              <w:rPr>
                <w:rFonts w:ascii="Arial Narrow" w:hAnsi="Arial Narrow"/>
                <w:color w:val="000000"/>
              </w:rPr>
              <w:t>AxAxP</w:t>
            </w:r>
            <w:proofErr w:type="spellEnd"/>
            <w:r>
              <w:rPr>
                <w:rFonts w:ascii="Arial Narrow" w:hAnsi="Arial Narrow"/>
                <w:color w:val="000000"/>
              </w:rPr>
              <w:t>): 520 x 1,556 x 520 mm /20.5 x 61.3 x 20.5"</w:t>
            </w:r>
          </w:p>
          <w:p w:rsidR="00BE2B0B" w:rsidRDefault="00BE2B0B" w:rsidP="003518C2">
            <w:pPr>
              <w:pStyle w:val="Prrafodelista"/>
              <w:numPr>
                <w:ilvl w:val="0"/>
                <w:numId w:val="3"/>
              </w:numPr>
              <w:ind w:left="776" w:hanging="425"/>
              <w:rPr>
                <w:rFonts w:ascii="Arial Narrow" w:hAnsi="Arial Narrow"/>
                <w:color w:val="000000"/>
              </w:rPr>
            </w:pPr>
            <w:r>
              <w:rPr>
                <w:rFonts w:ascii="Arial Narrow" w:hAnsi="Arial Narrow"/>
                <w:color w:val="000000"/>
              </w:rPr>
              <w:t>Dimensiones plataforma (</w:t>
            </w:r>
            <w:proofErr w:type="spellStart"/>
            <w:r>
              <w:rPr>
                <w:rFonts w:ascii="Arial Narrow" w:hAnsi="Arial Narrow"/>
                <w:color w:val="000000"/>
              </w:rPr>
              <w:t>AxAxP</w:t>
            </w:r>
            <w:proofErr w:type="spellEnd"/>
            <w:r>
              <w:rPr>
                <w:rFonts w:ascii="Arial Narrow" w:hAnsi="Arial Narrow"/>
                <w:color w:val="000000"/>
              </w:rPr>
              <w:t>): 335 x 80 x 345 mm / 13.2 x 3.1 x 13.6"</w:t>
            </w:r>
          </w:p>
          <w:p w:rsidR="00BE2B0B" w:rsidRDefault="00BE2B0B" w:rsidP="003518C2">
            <w:pPr>
              <w:pStyle w:val="Prrafodelista"/>
              <w:numPr>
                <w:ilvl w:val="0"/>
                <w:numId w:val="3"/>
              </w:numPr>
              <w:ind w:left="776" w:hanging="425"/>
              <w:rPr>
                <w:rFonts w:ascii="Arial Narrow" w:hAnsi="Arial Narrow"/>
                <w:color w:val="000000"/>
              </w:rPr>
            </w:pPr>
            <w:r>
              <w:rPr>
                <w:rFonts w:ascii="Arial Narrow" w:hAnsi="Arial Narrow"/>
                <w:color w:val="000000"/>
              </w:rPr>
              <w:t xml:space="preserve">Peso: 16.2 kg / 35.7 </w:t>
            </w:r>
            <w:proofErr w:type="spellStart"/>
            <w:r>
              <w:rPr>
                <w:rFonts w:ascii="Arial Narrow" w:hAnsi="Arial Narrow"/>
                <w:color w:val="000000"/>
              </w:rPr>
              <w:t>lbs</w:t>
            </w:r>
            <w:proofErr w:type="spellEnd"/>
          </w:p>
          <w:p w:rsidR="00BE2B0B" w:rsidRDefault="00BE2B0B" w:rsidP="003518C2">
            <w:pPr>
              <w:pStyle w:val="Prrafodelista"/>
              <w:numPr>
                <w:ilvl w:val="0"/>
                <w:numId w:val="3"/>
              </w:numPr>
              <w:ind w:left="776" w:hanging="425"/>
              <w:rPr>
                <w:rFonts w:ascii="Arial Narrow" w:hAnsi="Arial Narrow"/>
                <w:color w:val="000000"/>
              </w:rPr>
            </w:pPr>
            <w:r>
              <w:rPr>
                <w:rFonts w:ascii="Arial Narrow" w:hAnsi="Arial Narrow"/>
                <w:color w:val="000000"/>
              </w:rPr>
              <w:t>Funciones: Función de ajuste a cero, Ruedas de transporte</w:t>
            </w:r>
          </w:p>
          <w:p w:rsidR="00BE2B0B" w:rsidRDefault="00BE2B0B" w:rsidP="003518C2">
            <w:pPr>
              <w:pStyle w:val="Prrafodelista"/>
              <w:numPr>
                <w:ilvl w:val="0"/>
                <w:numId w:val="3"/>
              </w:numPr>
              <w:ind w:left="776" w:hanging="425"/>
              <w:rPr>
                <w:rFonts w:ascii="Arial Narrow" w:hAnsi="Arial Narrow"/>
                <w:color w:val="000000"/>
              </w:rPr>
            </w:pPr>
            <w:r>
              <w:rPr>
                <w:rFonts w:ascii="Arial Narrow" w:hAnsi="Arial Narrow"/>
                <w:color w:val="000000"/>
              </w:rPr>
              <w:t xml:space="preserve">Incluye. </w:t>
            </w:r>
            <w:proofErr w:type="spellStart"/>
            <w:r>
              <w:rPr>
                <w:rFonts w:ascii="Arial Narrow" w:hAnsi="Arial Narrow"/>
                <w:color w:val="000000"/>
              </w:rPr>
              <w:t>Tallímetro</w:t>
            </w:r>
            <w:proofErr w:type="spellEnd"/>
            <w:r>
              <w:rPr>
                <w:rFonts w:ascii="Arial Narrow" w:hAnsi="Arial Narrow"/>
                <w:color w:val="000000"/>
              </w:rPr>
              <w:t xml:space="preserve"> </w:t>
            </w:r>
          </w:p>
          <w:p w:rsidR="00BE2B0B" w:rsidRDefault="00BE2B0B">
            <w:pPr>
              <w:pStyle w:val="Default"/>
              <w:ind w:left="351"/>
              <w:rPr>
                <w:rFonts w:ascii="Arial Narrow" w:hAnsi="Arial Narrow"/>
                <w:i/>
                <w:sz w:val="23"/>
                <w:szCs w:val="23"/>
              </w:rPr>
            </w:pPr>
            <w:r>
              <w:rPr>
                <w:rFonts w:ascii="Arial Narrow" w:hAnsi="Arial Narrow"/>
                <w:i/>
                <w:sz w:val="23"/>
                <w:szCs w:val="23"/>
              </w:rPr>
              <w:t>Garantía de 12 meses a partir de la fecha de entrega</w:t>
            </w:r>
          </w:p>
          <w:p w:rsidR="00BE2B0B" w:rsidRDefault="00BE2B0B">
            <w:pPr>
              <w:ind w:left="360"/>
              <w:rPr>
                <w:rFonts w:ascii="Arial Narrow" w:hAnsi="Arial Narrow"/>
                <w:color w:val="000000"/>
                <w:sz w:val="22"/>
              </w:rPr>
            </w:pPr>
          </w:p>
        </w:tc>
      </w:tr>
      <w:tr w:rsidR="00BE2B0B" w:rsidTr="00BE2B0B">
        <w:trPr>
          <w:trHeight w:val="629"/>
          <w:jc w:val="center"/>
        </w:trPr>
        <w:tc>
          <w:tcPr>
            <w:tcW w:w="9650" w:type="dxa"/>
            <w:tcBorders>
              <w:top w:val="single" w:sz="4" w:space="0" w:color="auto"/>
              <w:left w:val="single" w:sz="4" w:space="0" w:color="auto"/>
              <w:bottom w:val="single" w:sz="4" w:space="0" w:color="auto"/>
              <w:right w:val="single" w:sz="4" w:space="0" w:color="auto"/>
            </w:tcBorders>
            <w:vAlign w:val="center"/>
          </w:tcPr>
          <w:p w:rsidR="00BE2B0B" w:rsidRDefault="00BE2B0B" w:rsidP="003518C2">
            <w:pPr>
              <w:pStyle w:val="Default"/>
              <w:numPr>
                <w:ilvl w:val="0"/>
                <w:numId w:val="2"/>
              </w:numPr>
              <w:spacing w:after="44"/>
              <w:rPr>
                <w:rFonts w:ascii="Arial Narrow" w:hAnsi="Arial Narrow"/>
                <w:sz w:val="22"/>
                <w:szCs w:val="22"/>
              </w:rPr>
            </w:pPr>
            <w:r>
              <w:rPr>
                <w:rFonts w:ascii="Arial Narrow" w:eastAsia="Times New Roman" w:hAnsi="Arial Narrow"/>
                <w:b/>
                <w:sz w:val="22"/>
                <w:szCs w:val="20"/>
                <w:lang w:eastAsia="es-ES"/>
              </w:rPr>
              <w:t xml:space="preserve">TENSIOMETRO DIGITAL </w:t>
            </w:r>
          </w:p>
          <w:p w:rsidR="00BE2B0B" w:rsidRDefault="00BE2B0B" w:rsidP="003518C2">
            <w:pPr>
              <w:pStyle w:val="Default"/>
              <w:numPr>
                <w:ilvl w:val="0"/>
                <w:numId w:val="4"/>
              </w:numPr>
              <w:spacing w:after="44"/>
              <w:rPr>
                <w:rFonts w:ascii="Arial Narrow" w:hAnsi="Arial Narrow"/>
                <w:sz w:val="22"/>
                <w:szCs w:val="22"/>
              </w:rPr>
            </w:pPr>
            <w:r>
              <w:rPr>
                <w:rFonts w:ascii="Arial Narrow" w:hAnsi="Arial Narrow"/>
                <w:sz w:val="22"/>
                <w:szCs w:val="22"/>
              </w:rPr>
              <w:t xml:space="preserve">Pantalla: Pantalla digital LCD </w:t>
            </w:r>
          </w:p>
          <w:p w:rsidR="00BE2B0B" w:rsidRDefault="00BE2B0B" w:rsidP="003518C2">
            <w:pPr>
              <w:pStyle w:val="Default"/>
              <w:numPr>
                <w:ilvl w:val="0"/>
                <w:numId w:val="4"/>
              </w:numPr>
              <w:spacing w:after="44"/>
              <w:rPr>
                <w:rFonts w:ascii="Arial Narrow" w:hAnsi="Arial Narrow"/>
                <w:sz w:val="22"/>
                <w:szCs w:val="22"/>
              </w:rPr>
            </w:pPr>
            <w:r>
              <w:rPr>
                <w:rFonts w:ascii="Arial Narrow" w:hAnsi="Arial Narrow"/>
                <w:sz w:val="22"/>
                <w:szCs w:val="22"/>
              </w:rPr>
              <w:t xml:space="preserve">Rango de medición: Presión: 0 a 299 </w:t>
            </w:r>
            <w:proofErr w:type="spellStart"/>
            <w:r>
              <w:rPr>
                <w:rFonts w:ascii="Arial Narrow" w:hAnsi="Arial Narrow"/>
                <w:sz w:val="22"/>
                <w:szCs w:val="22"/>
              </w:rPr>
              <w:t>mmHg</w:t>
            </w:r>
            <w:proofErr w:type="spellEnd"/>
            <w:r>
              <w:rPr>
                <w:rFonts w:ascii="Arial Narrow" w:hAnsi="Arial Narrow"/>
                <w:sz w:val="22"/>
                <w:szCs w:val="22"/>
              </w:rPr>
              <w:t xml:space="preserve">, </w:t>
            </w:r>
          </w:p>
          <w:p w:rsidR="00BE2B0B" w:rsidRDefault="00BE2B0B" w:rsidP="003518C2">
            <w:pPr>
              <w:pStyle w:val="Default"/>
              <w:numPr>
                <w:ilvl w:val="0"/>
                <w:numId w:val="4"/>
              </w:numPr>
              <w:spacing w:after="44"/>
              <w:rPr>
                <w:rFonts w:ascii="Arial Narrow" w:hAnsi="Arial Narrow"/>
                <w:sz w:val="22"/>
                <w:szCs w:val="22"/>
              </w:rPr>
            </w:pPr>
            <w:r>
              <w:rPr>
                <w:rFonts w:ascii="Arial Narrow" w:hAnsi="Arial Narrow"/>
                <w:sz w:val="22"/>
                <w:szCs w:val="22"/>
              </w:rPr>
              <w:t xml:space="preserve">Pulso: 40 a 180 latidos/min. </w:t>
            </w:r>
          </w:p>
          <w:p w:rsidR="00BE2B0B" w:rsidRDefault="00BE2B0B" w:rsidP="003518C2">
            <w:pPr>
              <w:pStyle w:val="Default"/>
              <w:numPr>
                <w:ilvl w:val="0"/>
                <w:numId w:val="4"/>
              </w:numPr>
              <w:spacing w:after="44"/>
              <w:rPr>
                <w:rFonts w:ascii="Arial Narrow" w:hAnsi="Arial Narrow"/>
                <w:sz w:val="22"/>
                <w:szCs w:val="22"/>
              </w:rPr>
            </w:pPr>
            <w:r>
              <w:rPr>
                <w:rFonts w:ascii="Arial Narrow" w:hAnsi="Arial Narrow"/>
                <w:sz w:val="22"/>
                <w:szCs w:val="22"/>
              </w:rPr>
              <w:t xml:space="preserve">Precisión: Presión: ±3mmHg, </w:t>
            </w:r>
          </w:p>
          <w:p w:rsidR="00BE2B0B" w:rsidRDefault="00BE2B0B" w:rsidP="003518C2">
            <w:pPr>
              <w:pStyle w:val="Default"/>
              <w:numPr>
                <w:ilvl w:val="0"/>
                <w:numId w:val="4"/>
              </w:numPr>
              <w:spacing w:after="44"/>
              <w:rPr>
                <w:rFonts w:ascii="Arial Narrow" w:hAnsi="Arial Narrow"/>
                <w:sz w:val="22"/>
                <w:szCs w:val="22"/>
              </w:rPr>
            </w:pPr>
            <w:r>
              <w:rPr>
                <w:rFonts w:ascii="Arial Narrow" w:hAnsi="Arial Narrow"/>
                <w:sz w:val="22"/>
                <w:szCs w:val="22"/>
              </w:rPr>
              <w:t xml:space="preserve">Pulso: ±5% de lectura </w:t>
            </w:r>
          </w:p>
          <w:p w:rsidR="00BE2B0B" w:rsidRDefault="00BE2B0B" w:rsidP="003518C2">
            <w:pPr>
              <w:pStyle w:val="Default"/>
              <w:numPr>
                <w:ilvl w:val="0"/>
                <w:numId w:val="4"/>
              </w:numPr>
              <w:spacing w:after="44"/>
              <w:rPr>
                <w:rFonts w:ascii="Arial Narrow" w:hAnsi="Arial Narrow"/>
                <w:sz w:val="22"/>
                <w:szCs w:val="22"/>
              </w:rPr>
            </w:pPr>
            <w:r>
              <w:rPr>
                <w:rFonts w:ascii="Arial Narrow" w:hAnsi="Arial Narrow"/>
                <w:sz w:val="22"/>
                <w:szCs w:val="22"/>
              </w:rPr>
              <w:t xml:space="preserve">Inflado: Controlado con lógica difusa mediante bomba eléctrica </w:t>
            </w:r>
          </w:p>
          <w:p w:rsidR="00BE2B0B" w:rsidRDefault="00BE2B0B" w:rsidP="003518C2">
            <w:pPr>
              <w:pStyle w:val="Default"/>
              <w:numPr>
                <w:ilvl w:val="0"/>
                <w:numId w:val="4"/>
              </w:numPr>
              <w:spacing w:after="44"/>
              <w:rPr>
                <w:rFonts w:ascii="Arial Narrow" w:hAnsi="Arial Narrow"/>
                <w:sz w:val="22"/>
                <w:szCs w:val="22"/>
              </w:rPr>
            </w:pPr>
            <w:r>
              <w:rPr>
                <w:rFonts w:ascii="Arial Narrow" w:hAnsi="Arial Narrow"/>
                <w:sz w:val="22"/>
                <w:szCs w:val="22"/>
              </w:rPr>
              <w:t xml:space="preserve">Desinflado: Válvula de liberación automática de presión </w:t>
            </w:r>
          </w:p>
          <w:p w:rsidR="00BE2B0B" w:rsidRDefault="00BE2B0B" w:rsidP="003518C2">
            <w:pPr>
              <w:pStyle w:val="Default"/>
              <w:numPr>
                <w:ilvl w:val="0"/>
                <w:numId w:val="4"/>
              </w:numPr>
              <w:spacing w:after="44"/>
              <w:rPr>
                <w:rFonts w:ascii="Arial Narrow" w:hAnsi="Arial Narrow"/>
                <w:sz w:val="22"/>
                <w:szCs w:val="22"/>
              </w:rPr>
            </w:pPr>
            <w:r>
              <w:rPr>
                <w:rFonts w:ascii="Arial Narrow" w:hAnsi="Arial Narrow"/>
                <w:sz w:val="22"/>
                <w:szCs w:val="22"/>
              </w:rPr>
              <w:t xml:space="preserve">Método de medición: Método </w:t>
            </w:r>
            <w:proofErr w:type="spellStart"/>
            <w:r>
              <w:rPr>
                <w:rFonts w:ascii="Arial Narrow" w:hAnsi="Arial Narrow"/>
                <w:sz w:val="22"/>
                <w:szCs w:val="22"/>
              </w:rPr>
              <w:t>Osilometrico</w:t>
            </w:r>
            <w:proofErr w:type="spellEnd"/>
            <w:r>
              <w:rPr>
                <w:rFonts w:ascii="Arial Narrow" w:hAnsi="Arial Narrow"/>
                <w:sz w:val="22"/>
                <w:szCs w:val="22"/>
              </w:rPr>
              <w:t xml:space="preserve"> </w:t>
            </w:r>
          </w:p>
          <w:p w:rsidR="00BE2B0B" w:rsidRDefault="00BE2B0B" w:rsidP="003518C2">
            <w:pPr>
              <w:pStyle w:val="Default"/>
              <w:numPr>
                <w:ilvl w:val="0"/>
                <w:numId w:val="4"/>
              </w:numPr>
              <w:rPr>
                <w:rFonts w:ascii="Arial Narrow" w:hAnsi="Arial Narrow"/>
                <w:sz w:val="22"/>
                <w:szCs w:val="22"/>
              </w:rPr>
            </w:pPr>
            <w:r>
              <w:rPr>
                <w:rFonts w:ascii="Arial Narrow" w:hAnsi="Arial Narrow"/>
                <w:sz w:val="22"/>
                <w:szCs w:val="22"/>
              </w:rPr>
              <w:t xml:space="preserve">Clasificación IP: IP 20 </w:t>
            </w:r>
          </w:p>
          <w:p w:rsidR="00BE2B0B" w:rsidRDefault="00BE2B0B" w:rsidP="003518C2">
            <w:pPr>
              <w:pStyle w:val="Default"/>
              <w:numPr>
                <w:ilvl w:val="0"/>
                <w:numId w:val="5"/>
              </w:numPr>
              <w:spacing w:after="47"/>
              <w:rPr>
                <w:rFonts w:ascii="Arial Narrow" w:hAnsi="Arial Narrow"/>
                <w:sz w:val="23"/>
                <w:szCs w:val="23"/>
              </w:rPr>
            </w:pPr>
            <w:r>
              <w:rPr>
                <w:rFonts w:ascii="Arial Narrow" w:hAnsi="Arial Narrow"/>
                <w:sz w:val="23"/>
                <w:szCs w:val="23"/>
              </w:rPr>
              <w:t xml:space="preserve">Fuente de alimentación: 4 × 1.5V (pilas alcalinas “AA”) Vida útil de las pilas: Aproximadamente 1000 mediciones con 4 pilas alcalinas nuevas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Pieza aplicada: Tipo BF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Protección contra descarga eléctrica: Equipo </w:t>
            </w:r>
            <w:proofErr w:type="spellStart"/>
            <w:r>
              <w:rPr>
                <w:rFonts w:ascii="Arial Narrow" w:hAnsi="Arial Narrow"/>
                <w:sz w:val="23"/>
                <w:szCs w:val="23"/>
              </w:rPr>
              <w:t>Electromedico</w:t>
            </w:r>
            <w:proofErr w:type="spellEnd"/>
            <w:r>
              <w:rPr>
                <w:rFonts w:ascii="Arial Narrow" w:hAnsi="Arial Narrow"/>
                <w:sz w:val="23"/>
                <w:szCs w:val="23"/>
              </w:rPr>
              <w:t xml:space="preserve"> ME encendido internamente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Modo de funcionamiento: Funcionamiento continuo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Temperatura/Humedad de funcionamiento: 10ºC a 40ºC /15 a 90% de humedad relativa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Temperatura de almacenamiento/ Humedad/Presión de aire: -20ºC a 60ºC /10 a 95% de humedad relativa 700 a 1060 </w:t>
            </w:r>
            <w:proofErr w:type="spellStart"/>
            <w:r>
              <w:rPr>
                <w:rFonts w:ascii="Arial Narrow" w:hAnsi="Arial Narrow"/>
                <w:sz w:val="23"/>
                <w:szCs w:val="23"/>
              </w:rPr>
              <w:t>hPa</w:t>
            </w:r>
            <w:proofErr w:type="spellEnd"/>
            <w:r>
              <w:rPr>
                <w:rFonts w:ascii="Arial Narrow" w:hAnsi="Arial Narrow"/>
                <w:sz w:val="23"/>
                <w:szCs w:val="23"/>
              </w:rPr>
              <w:t xml:space="preserve">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Peso de la unidad principal: Aproximadamente 250g (sin incluir las pilas)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Peso del brazalete: Aproximadamente 170 g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Dimensiones de la unidad principal: Aproximadamente 103 mm × 80 mm × 129 mm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Dimensiones del brazalete: Aproximadamente 145 mm × 594 mm (tubo de aire: 750 mm)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Circunferencia del brazalete: Aproximadamente 220 a 420 mm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Memoria: Hasta 30 lecturas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Contenido: Unidad principal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lastRenderedPageBreak/>
              <w:t xml:space="preserve">4 pilas alcalinas “AA”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Estuche. </w:t>
            </w:r>
          </w:p>
          <w:p w:rsidR="00BE2B0B" w:rsidRDefault="00BE2B0B" w:rsidP="003518C2">
            <w:pPr>
              <w:pStyle w:val="Default"/>
              <w:numPr>
                <w:ilvl w:val="1"/>
                <w:numId w:val="6"/>
              </w:numPr>
              <w:spacing w:after="47"/>
              <w:ind w:left="776" w:hanging="425"/>
              <w:rPr>
                <w:rFonts w:ascii="Arial Narrow" w:hAnsi="Arial Narrow"/>
                <w:sz w:val="23"/>
                <w:szCs w:val="23"/>
              </w:rPr>
            </w:pPr>
            <w:r>
              <w:rPr>
                <w:rFonts w:ascii="Arial Narrow" w:hAnsi="Arial Narrow"/>
                <w:sz w:val="23"/>
                <w:szCs w:val="23"/>
              </w:rPr>
              <w:t xml:space="preserve">Un Manual de instrucciones </w:t>
            </w:r>
          </w:p>
          <w:p w:rsidR="00BE2B0B" w:rsidRDefault="00BE2B0B" w:rsidP="003518C2">
            <w:pPr>
              <w:pStyle w:val="Default"/>
              <w:numPr>
                <w:ilvl w:val="1"/>
                <w:numId w:val="6"/>
              </w:numPr>
              <w:ind w:left="776" w:hanging="425"/>
              <w:rPr>
                <w:rFonts w:ascii="Arial Narrow" w:hAnsi="Arial Narrow"/>
                <w:sz w:val="23"/>
                <w:szCs w:val="23"/>
              </w:rPr>
            </w:pPr>
            <w:r>
              <w:rPr>
                <w:rFonts w:ascii="Arial Narrow" w:hAnsi="Arial Narrow"/>
                <w:sz w:val="23"/>
                <w:szCs w:val="23"/>
              </w:rPr>
              <w:t xml:space="preserve">Brazalete (22x 42cm) </w:t>
            </w:r>
          </w:p>
          <w:p w:rsidR="00BE2B0B" w:rsidRDefault="00BE2B0B">
            <w:pPr>
              <w:pStyle w:val="Default"/>
              <w:ind w:left="351"/>
              <w:rPr>
                <w:rFonts w:ascii="Arial Narrow" w:hAnsi="Arial Narrow"/>
                <w:i/>
                <w:sz w:val="23"/>
                <w:szCs w:val="23"/>
              </w:rPr>
            </w:pPr>
            <w:r>
              <w:rPr>
                <w:rFonts w:ascii="Arial Narrow" w:hAnsi="Arial Narrow"/>
                <w:i/>
                <w:sz w:val="23"/>
                <w:szCs w:val="23"/>
              </w:rPr>
              <w:t>Garantía de 6 meses a partir de la fecha de entrega</w:t>
            </w:r>
          </w:p>
          <w:p w:rsidR="00BE2B0B" w:rsidRDefault="00BE2B0B">
            <w:pPr>
              <w:rPr>
                <w:rFonts w:ascii="Arial Narrow" w:hAnsi="Arial Narrow"/>
                <w:color w:val="000000"/>
                <w:sz w:val="22"/>
              </w:rPr>
            </w:pPr>
          </w:p>
        </w:tc>
      </w:tr>
      <w:tr w:rsidR="00BE2B0B" w:rsidTr="00BE2B0B">
        <w:trPr>
          <w:trHeight w:val="629"/>
          <w:jc w:val="center"/>
        </w:trPr>
        <w:tc>
          <w:tcPr>
            <w:tcW w:w="9650"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BE2B0B" w:rsidRDefault="00BE2B0B">
            <w:pPr>
              <w:rPr>
                <w:rFonts w:ascii="Arial Narrow" w:hAnsi="Arial Narrow" w:cs="Calibri"/>
                <w:sz w:val="22"/>
                <w:szCs w:val="22"/>
                <w:lang w:eastAsia="es-BO"/>
              </w:rPr>
            </w:pPr>
            <w:r>
              <w:rPr>
                <w:rFonts w:ascii="Arial Narrow" w:hAnsi="Arial Narrow" w:cs="Calibri"/>
                <w:b/>
                <w:bCs/>
                <w:sz w:val="22"/>
                <w:szCs w:val="22"/>
              </w:rPr>
              <w:lastRenderedPageBreak/>
              <w:t>PLAZO DE ENTREGA</w:t>
            </w:r>
          </w:p>
        </w:tc>
      </w:tr>
      <w:tr w:rsidR="00BE2B0B" w:rsidTr="00BE2B0B">
        <w:trPr>
          <w:trHeight w:val="629"/>
          <w:jc w:val="center"/>
        </w:trPr>
        <w:tc>
          <w:tcPr>
            <w:tcW w:w="9650" w:type="dxa"/>
            <w:tcBorders>
              <w:top w:val="single" w:sz="4" w:space="0" w:color="auto"/>
              <w:left w:val="single" w:sz="4" w:space="0" w:color="auto"/>
              <w:bottom w:val="single" w:sz="4" w:space="0" w:color="auto"/>
              <w:right w:val="single" w:sz="4" w:space="0" w:color="auto"/>
            </w:tcBorders>
            <w:vAlign w:val="center"/>
            <w:hideMark/>
          </w:tcPr>
          <w:p w:rsidR="00BE2B0B" w:rsidRDefault="00BE2B0B">
            <w:pPr>
              <w:autoSpaceDE w:val="0"/>
              <w:autoSpaceDN w:val="0"/>
              <w:adjustRightInd w:val="0"/>
              <w:jc w:val="both"/>
              <w:rPr>
                <w:rFonts w:ascii="Arial Narrow" w:eastAsia="Calibri" w:hAnsi="Arial Narrow"/>
                <w:sz w:val="22"/>
                <w:szCs w:val="22"/>
                <w:lang w:val="es-BO"/>
              </w:rPr>
            </w:pPr>
            <w:bookmarkStart w:id="0" w:name="_GoBack"/>
            <w:r>
              <w:rPr>
                <w:rFonts w:ascii="Arial Narrow" w:eastAsia="Calibri" w:hAnsi="Arial Narrow"/>
                <w:b/>
                <w:sz w:val="22"/>
                <w:szCs w:val="22"/>
                <w:lang w:val="es-BO"/>
              </w:rPr>
              <w:t>8 DÍAS HÁBILES</w:t>
            </w:r>
            <w:r>
              <w:rPr>
                <w:rFonts w:ascii="Arial Narrow" w:eastAsia="Calibri" w:hAnsi="Arial Narrow"/>
                <w:b/>
                <w:sz w:val="22"/>
                <w:szCs w:val="22"/>
              </w:rPr>
              <w:t xml:space="preserve"> </w:t>
            </w:r>
            <w:r>
              <w:rPr>
                <w:rFonts w:ascii="Arial Narrow" w:eastAsia="Calibri" w:hAnsi="Arial Narrow"/>
                <w:sz w:val="22"/>
                <w:szCs w:val="22"/>
              </w:rPr>
              <w:t xml:space="preserve">a partir de la recepción de orden de compra </w:t>
            </w:r>
            <w:r>
              <w:rPr>
                <w:rFonts w:ascii="Arial Narrow" w:eastAsia="Calibri" w:hAnsi="Arial Narrow"/>
                <w:sz w:val="22"/>
                <w:szCs w:val="22"/>
                <w:lang w:val="es-BO"/>
              </w:rPr>
              <w:t>pudiendo ser menor de acuerdo al proponente.</w:t>
            </w:r>
            <w:bookmarkEnd w:id="0"/>
          </w:p>
        </w:tc>
      </w:tr>
    </w:tbl>
    <w:p w:rsidR="00BE2B0B" w:rsidRDefault="00BE2B0B" w:rsidP="00BE2B0B">
      <w:pPr>
        <w:rPr>
          <w:rFonts w:ascii="Arial Narrow" w:hAnsi="Arial Narrow" w:cs="Calibri"/>
          <w:b/>
          <w:sz w:val="22"/>
          <w:szCs w:val="22"/>
        </w:rPr>
      </w:pPr>
    </w:p>
    <w:p w:rsidR="00BE2B0B" w:rsidRDefault="00BE2B0B" w:rsidP="00BE2B0B">
      <w:pPr>
        <w:pStyle w:val="Prrafodelista"/>
        <w:numPr>
          <w:ilvl w:val="0"/>
          <w:numId w:val="1"/>
        </w:numPr>
        <w:ind w:left="567" w:hanging="567"/>
        <w:contextualSpacing/>
        <w:jc w:val="both"/>
        <w:rPr>
          <w:rFonts w:ascii="Arial Narrow" w:hAnsi="Arial Narrow" w:cs="Calibri"/>
          <w:b/>
          <w:bCs/>
          <w:lang w:eastAsia="es-BO"/>
        </w:rPr>
      </w:pPr>
      <w:r>
        <w:rPr>
          <w:rFonts w:ascii="Arial Narrow" w:hAnsi="Arial Narrow" w:cs="Calibri"/>
          <w:b/>
          <w:bCs/>
          <w:lang w:eastAsia="es-BO"/>
        </w:rPr>
        <w:t>CONDICIONES REQUERIDAS PARA EL BIEN (De cumplimiento obligatorio por el proponente)</w:t>
      </w:r>
    </w:p>
    <w:p w:rsidR="00BE2B0B" w:rsidRDefault="00BE2B0B" w:rsidP="00BE2B0B">
      <w:pPr>
        <w:pStyle w:val="Prrafodelista"/>
        <w:jc w:val="both"/>
        <w:rPr>
          <w:rFonts w:ascii="Arial Narrow" w:hAnsi="Arial Narrow" w:cs="Times New Roman"/>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5"/>
      </w:tblGrid>
      <w:tr w:rsidR="00BE2B0B" w:rsidTr="00BE2B0B">
        <w:trPr>
          <w:trHeight w:val="397"/>
          <w:jc w:val="center"/>
        </w:trPr>
        <w:tc>
          <w:tcPr>
            <w:tcW w:w="9645"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E2B0B" w:rsidRDefault="00BE2B0B">
            <w:pPr>
              <w:autoSpaceDE w:val="0"/>
              <w:autoSpaceDN w:val="0"/>
              <w:adjustRightInd w:val="0"/>
              <w:rPr>
                <w:rFonts w:ascii="Arial Narrow" w:hAnsi="Arial Narrow" w:cs="Calibri"/>
                <w:b/>
                <w:bCs/>
                <w:sz w:val="22"/>
                <w:szCs w:val="22"/>
                <w:lang w:eastAsia="es-BO"/>
              </w:rPr>
            </w:pPr>
            <w:r>
              <w:rPr>
                <w:rFonts w:ascii="Arial Narrow" w:hAnsi="Arial Narrow" w:cs="Calibri"/>
                <w:b/>
                <w:bCs/>
                <w:sz w:val="22"/>
                <w:szCs w:val="22"/>
              </w:rPr>
              <w:t>LUGAR DE ENTREGA DE LOS BIENES</w:t>
            </w:r>
          </w:p>
        </w:tc>
      </w:tr>
      <w:tr w:rsidR="00BE2B0B" w:rsidTr="00BE2B0B">
        <w:trPr>
          <w:trHeight w:val="452"/>
          <w:jc w:val="center"/>
        </w:trPr>
        <w:tc>
          <w:tcPr>
            <w:tcW w:w="9645" w:type="dxa"/>
            <w:tcBorders>
              <w:top w:val="single" w:sz="4" w:space="0" w:color="auto"/>
              <w:left w:val="single" w:sz="4" w:space="0" w:color="auto"/>
              <w:bottom w:val="single" w:sz="4" w:space="0" w:color="auto"/>
              <w:right w:val="single" w:sz="4" w:space="0" w:color="auto"/>
            </w:tcBorders>
            <w:vAlign w:val="center"/>
            <w:hideMark/>
          </w:tcPr>
          <w:p w:rsidR="00BE2B0B" w:rsidRDefault="00BE2B0B">
            <w:pPr>
              <w:rPr>
                <w:rFonts w:ascii="Arial Narrow" w:hAnsi="Arial Narrow" w:cs="Calibri"/>
                <w:sz w:val="22"/>
                <w:szCs w:val="22"/>
              </w:rPr>
            </w:pPr>
            <w:r>
              <w:rPr>
                <w:rFonts w:ascii="Arial Narrow" w:hAnsi="Arial Narrow" w:cs="Calibri"/>
                <w:sz w:val="22"/>
                <w:szCs w:val="22"/>
              </w:rPr>
              <w:t xml:space="preserve">Todos los Ítems deben ser entregados en almacenes de YPFB Redes de Gas Cochabamba, ubicadas entre Av. Rafael Pabón esq. C. </w:t>
            </w:r>
            <w:proofErr w:type="spellStart"/>
            <w:r>
              <w:rPr>
                <w:rFonts w:ascii="Arial Narrow" w:hAnsi="Arial Narrow" w:cs="Calibri"/>
                <w:sz w:val="22"/>
                <w:szCs w:val="22"/>
              </w:rPr>
              <w:t>Viloma</w:t>
            </w:r>
            <w:proofErr w:type="spellEnd"/>
            <w:r>
              <w:rPr>
                <w:rFonts w:ascii="Arial Narrow" w:hAnsi="Arial Narrow" w:cs="Calibri"/>
                <w:sz w:val="22"/>
                <w:szCs w:val="22"/>
              </w:rPr>
              <w:t>.</w:t>
            </w:r>
          </w:p>
        </w:tc>
      </w:tr>
      <w:tr w:rsidR="00BE2B0B" w:rsidTr="00BE2B0B">
        <w:trPr>
          <w:trHeight w:val="349"/>
          <w:jc w:val="center"/>
        </w:trPr>
        <w:tc>
          <w:tcPr>
            <w:tcW w:w="9645"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E2B0B" w:rsidRDefault="00BE2B0B">
            <w:pPr>
              <w:autoSpaceDE w:val="0"/>
              <w:autoSpaceDN w:val="0"/>
              <w:adjustRightInd w:val="0"/>
              <w:rPr>
                <w:rFonts w:ascii="Arial Narrow" w:hAnsi="Arial Narrow" w:cs="Calibri"/>
                <w:sz w:val="22"/>
                <w:szCs w:val="22"/>
                <w:lang w:eastAsia="es-BO"/>
              </w:rPr>
            </w:pPr>
            <w:r>
              <w:rPr>
                <w:rFonts w:ascii="Arial Narrow" w:hAnsi="Arial Narrow" w:cs="Calibri"/>
                <w:b/>
                <w:bCs/>
                <w:sz w:val="22"/>
                <w:szCs w:val="22"/>
              </w:rPr>
              <w:t>FORMA DE PAGO</w:t>
            </w:r>
          </w:p>
        </w:tc>
      </w:tr>
      <w:tr w:rsidR="00BE2B0B" w:rsidTr="00BE2B0B">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hideMark/>
          </w:tcPr>
          <w:p w:rsidR="00BE2B0B" w:rsidRDefault="00BE2B0B">
            <w:pPr>
              <w:pStyle w:val="Prrafodelista"/>
              <w:ind w:left="0"/>
              <w:rPr>
                <w:rFonts w:ascii="Arial Narrow" w:eastAsia="Arial Unicode MS" w:hAnsi="Arial Narrow"/>
              </w:rPr>
            </w:pPr>
            <w:r>
              <w:rPr>
                <w:rFonts w:ascii="Arial Narrow" w:hAnsi="Arial Narrow" w:cs="Calibri"/>
              </w:rPr>
              <w:t xml:space="preserve">Pago contra entrega, </w:t>
            </w:r>
            <w:r>
              <w:rPr>
                <w:rFonts w:ascii="Arial Narrow" w:eastAsia="Arial Unicode MS" w:hAnsi="Arial Narrow"/>
              </w:rPr>
              <w:t>El pago será realizado vía SIGEP, para lo cual la empresa adjudicada emitirá factura a nombre de Y.P.F.B. con número de NIT 1020269020.</w:t>
            </w:r>
          </w:p>
        </w:tc>
      </w:tr>
      <w:tr w:rsidR="00BE2B0B" w:rsidTr="00BE2B0B">
        <w:trPr>
          <w:trHeight w:val="310"/>
          <w:jc w:val="center"/>
        </w:trPr>
        <w:tc>
          <w:tcPr>
            <w:tcW w:w="964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BE2B0B" w:rsidRDefault="00BE2B0B">
            <w:pPr>
              <w:pStyle w:val="Prrafodelista"/>
              <w:ind w:left="0"/>
              <w:rPr>
                <w:rFonts w:ascii="Arial Narrow" w:hAnsi="Arial Narrow" w:cs="Calibri"/>
                <w:b/>
              </w:rPr>
            </w:pPr>
            <w:r>
              <w:rPr>
                <w:rFonts w:ascii="Arial Narrow" w:hAnsi="Arial Narrow" w:cs="Calibri"/>
                <w:b/>
              </w:rPr>
              <w:t>MULTAS</w:t>
            </w:r>
          </w:p>
        </w:tc>
      </w:tr>
      <w:tr w:rsidR="00BE2B0B" w:rsidTr="00BE2B0B">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hideMark/>
          </w:tcPr>
          <w:p w:rsidR="00BE2B0B" w:rsidRDefault="00BE2B0B">
            <w:pPr>
              <w:pStyle w:val="Prrafodelista"/>
              <w:ind w:left="0"/>
              <w:rPr>
                <w:rFonts w:ascii="Arial Narrow" w:hAnsi="Arial Narrow" w:cs="Calibri"/>
              </w:rPr>
            </w:pPr>
            <w:r>
              <w:rPr>
                <w:rFonts w:ascii="Arial Narrow" w:hAnsi="Arial Narrow" w:cs="Calibri"/>
              </w:rPr>
              <w:t>El porcentaje de multas a aplicar será del 1% por día de retraso en caso de incumplimiento en el plazo de entrega, no debiendo exceder el monto del 20% (veinte por ciento), motivo por el cual se anulará la orden de compra.</w:t>
            </w:r>
          </w:p>
        </w:tc>
      </w:tr>
      <w:tr w:rsidR="00BE2B0B" w:rsidTr="00BE2B0B">
        <w:trPr>
          <w:trHeight w:val="310"/>
          <w:jc w:val="center"/>
        </w:trPr>
        <w:tc>
          <w:tcPr>
            <w:tcW w:w="964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BE2B0B" w:rsidRDefault="00BE2B0B">
            <w:pPr>
              <w:autoSpaceDE w:val="0"/>
              <w:autoSpaceDN w:val="0"/>
              <w:adjustRightInd w:val="0"/>
              <w:jc w:val="both"/>
              <w:rPr>
                <w:rFonts w:ascii="Arial Narrow" w:hAnsi="Arial Narrow" w:cs="Calibri"/>
                <w:b/>
                <w:sz w:val="22"/>
                <w:szCs w:val="22"/>
              </w:rPr>
            </w:pPr>
            <w:r>
              <w:rPr>
                <w:rFonts w:ascii="Arial Narrow" w:hAnsi="Arial Narrow" w:cs="Calibri"/>
                <w:b/>
                <w:sz w:val="22"/>
                <w:szCs w:val="22"/>
              </w:rPr>
              <w:t>FACTURACIÓN</w:t>
            </w:r>
          </w:p>
        </w:tc>
      </w:tr>
      <w:tr w:rsidR="00BE2B0B" w:rsidTr="00BE2B0B">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hideMark/>
          </w:tcPr>
          <w:p w:rsidR="00BE2B0B" w:rsidRDefault="00BE2B0B">
            <w:pPr>
              <w:autoSpaceDE w:val="0"/>
              <w:autoSpaceDN w:val="0"/>
              <w:adjustRightInd w:val="0"/>
              <w:jc w:val="both"/>
              <w:rPr>
                <w:rFonts w:ascii="Arial Narrow" w:hAnsi="Arial Narrow" w:cs="Calibri"/>
                <w:sz w:val="22"/>
                <w:szCs w:val="22"/>
              </w:rPr>
            </w:pPr>
            <w:r>
              <w:rPr>
                <w:rFonts w:ascii="Arial Narrow" w:hAnsi="Arial Narrow" w:cs="Calibri"/>
                <w:sz w:val="22"/>
                <w:szCs w:val="22"/>
              </w:rPr>
              <w:t xml:space="preserve">La factura debe ser emitida de acuerdo a normativa vigente a nombre de Yacimientos Petrolíferos Fiscales Bolivianos consignando el Número de Identificación Tributaria (NIT) 1020269020. </w:t>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p>
          <w:p w:rsidR="00BE2B0B" w:rsidRDefault="00BE2B0B">
            <w:pPr>
              <w:autoSpaceDE w:val="0"/>
              <w:autoSpaceDN w:val="0"/>
              <w:adjustRightInd w:val="0"/>
              <w:jc w:val="both"/>
              <w:rPr>
                <w:rFonts w:ascii="Arial Narrow" w:hAnsi="Arial Narrow" w:cs="Calibri"/>
                <w:sz w:val="22"/>
                <w:szCs w:val="22"/>
              </w:rPr>
            </w:pPr>
            <w:r>
              <w:rPr>
                <w:rFonts w:ascii="Arial Narrow" w:hAnsi="Arial Narrow" w:cs="Calibri"/>
                <w:sz w:val="22"/>
                <w:szCs w:val="22"/>
              </w:rPr>
              <w:t xml:space="preserve">La factura deberá emitirse por el precio contratado, sin deducir las multas ni otros cargos, </w:t>
            </w:r>
            <w:proofErr w:type="spellStart"/>
            <w:r>
              <w:rPr>
                <w:rFonts w:ascii="Arial Narrow" w:hAnsi="Arial Narrow" w:cs="Calibri"/>
                <w:sz w:val="22"/>
                <w:szCs w:val="22"/>
              </w:rPr>
              <w:t>a</w:t>
            </w:r>
            <w:proofErr w:type="spellEnd"/>
            <w:r>
              <w:rPr>
                <w:rFonts w:ascii="Arial Narrow" w:hAnsi="Arial Narrow" w:cs="Calibri"/>
                <w:sz w:val="22"/>
                <w:szCs w:val="22"/>
              </w:rPr>
              <w:t xml:space="preserve"> momento de la entrega de la totalidad de los bienes conforme lo establecido contractualmente.</w:t>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p>
          <w:p w:rsidR="00BE2B0B" w:rsidRDefault="00BE2B0B">
            <w:pPr>
              <w:autoSpaceDE w:val="0"/>
              <w:autoSpaceDN w:val="0"/>
              <w:adjustRightInd w:val="0"/>
              <w:jc w:val="both"/>
              <w:rPr>
                <w:rFonts w:ascii="Arial Narrow" w:hAnsi="Arial Narrow" w:cs="Calibri"/>
                <w:b/>
                <w:sz w:val="22"/>
                <w:szCs w:val="22"/>
                <w:lang w:val="es-BO"/>
              </w:rPr>
            </w:pPr>
            <w:r>
              <w:rPr>
                <w:rFonts w:ascii="Arial Narrow" w:hAnsi="Arial Narrow" w:cs="Calibri"/>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p>
        </w:tc>
      </w:tr>
      <w:tr w:rsidR="00BE2B0B" w:rsidTr="00BE2B0B">
        <w:trPr>
          <w:trHeight w:val="310"/>
          <w:jc w:val="center"/>
        </w:trPr>
        <w:tc>
          <w:tcPr>
            <w:tcW w:w="964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BE2B0B" w:rsidRDefault="00BE2B0B">
            <w:pPr>
              <w:autoSpaceDE w:val="0"/>
              <w:autoSpaceDN w:val="0"/>
              <w:adjustRightInd w:val="0"/>
              <w:jc w:val="both"/>
              <w:rPr>
                <w:rFonts w:ascii="Arial Narrow" w:hAnsi="Arial Narrow" w:cs="Calibri"/>
                <w:b/>
                <w:sz w:val="22"/>
                <w:szCs w:val="22"/>
              </w:rPr>
            </w:pPr>
            <w:r>
              <w:rPr>
                <w:rFonts w:ascii="Arial Narrow" w:hAnsi="Arial Narrow" w:cs="Calibri"/>
                <w:b/>
                <w:sz w:val="22"/>
                <w:szCs w:val="22"/>
              </w:rPr>
              <w:t>TRIBUTOS</w:t>
            </w:r>
          </w:p>
        </w:tc>
      </w:tr>
      <w:tr w:rsidR="00BE2B0B" w:rsidTr="00BE2B0B">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hideMark/>
          </w:tcPr>
          <w:p w:rsidR="00BE2B0B" w:rsidRDefault="00BE2B0B">
            <w:pPr>
              <w:autoSpaceDE w:val="0"/>
              <w:autoSpaceDN w:val="0"/>
              <w:adjustRightInd w:val="0"/>
              <w:jc w:val="both"/>
              <w:rPr>
                <w:rFonts w:ascii="Arial Narrow" w:hAnsi="Arial Narrow" w:cs="Calibri"/>
                <w:sz w:val="22"/>
                <w:szCs w:val="22"/>
                <w:lang w:val="es-BO"/>
              </w:rPr>
            </w:pPr>
            <w:r>
              <w:rPr>
                <w:rFonts w:ascii="Arial Narrow" w:hAnsi="Arial Narrow" w:cs="Calibri"/>
                <w:sz w:val="22"/>
                <w:szCs w:val="22"/>
                <w:lang w:val="es-BO"/>
              </w:rPr>
              <w:t>El adjudicado declara que todos los tributos vigentes a la fecha y que puedan originarse directa o indirectamente en aplicación del contrato, son de su responsabilidad, no correspondiendo ningún reclamo posterior.</w:t>
            </w:r>
            <w:r>
              <w:rPr>
                <w:rFonts w:ascii="Arial Narrow" w:hAnsi="Arial Narrow" w:cs="Calibri"/>
                <w:sz w:val="22"/>
                <w:szCs w:val="22"/>
                <w:lang w:val="es-BO"/>
              </w:rPr>
              <w:tab/>
            </w:r>
            <w:r>
              <w:rPr>
                <w:rFonts w:ascii="Arial Narrow" w:hAnsi="Arial Narrow" w:cs="Calibri"/>
                <w:sz w:val="22"/>
                <w:szCs w:val="22"/>
                <w:lang w:val="es-BO"/>
              </w:rPr>
              <w:tab/>
            </w:r>
            <w:r>
              <w:rPr>
                <w:rFonts w:ascii="Arial Narrow" w:hAnsi="Arial Narrow" w:cs="Calibri"/>
                <w:sz w:val="22"/>
                <w:szCs w:val="22"/>
                <w:lang w:val="es-BO"/>
              </w:rPr>
              <w:tab/>
            </w:r>
            <w:r>
              <w:rPr>
                <w:rFonts w:ascii="Arial Narrow" w:hAnsi="Arial Narrow" w:cs="Calibri"/>
                <w:sz w:val="22"/>
                <w:szCs w:val="22"/>
                <w:lang w:val="es-BO"/>
              </w:rPr>
              <w:tab/>
            </w:r>
            <w:r>
              <w:rPr>
                <w:rFonts w:ascii="Arial Narrow" w:hAnsi="Arial Narrow" w:cs="Calibri"/>
                <w:sz w:val="22"/>
                <w:szCs w:val="22"/>
                <w:lang w:val="es-BO"/>
              </w:rPr>
              <w:tab/>
            </w:r>
          </w:p>
        </w:tc>
      </w:tr>
      <w:tr w:rsidR="00BE2B0B" w:rsidTr="00BE2B0B">
        <w:trPr>
          <w:trHeight w:val="310"/>
          <w:jc w:val="center"/>
        </w:trPr>
        <w:tc>
          <w:tcPr>
            <w:tcW w:w="964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BE2B0B" w:rsidRDefault="00BE2B0B">
            <w:pPr>
              <w:pStyle w:val="Prrafodelista"/>
              <w:ind w:left="0"/>
              <w:rPr>
                <w:rFonts w:ascii="Arial Narrow" w:hAnsi="Arial Narrow" w:cs="Calibri"/>
                <w:b/>
              </w:rPr>
            </w:pPr>
            <w:r>
              <w:rPr>
                <w:rFonts w:ascii="Arial Narrow" w:hAnsi="Arial Narrow" w:cs="Calibri"/>
                <w:b/>
              </w:rPr>
              <w:t>ASPECTOS NORMATIVOS DE SEGURIDAD INDUSTRIAL Y SALUD OCUPACIONAL  PARA EMPRESAS CONTRATISTAS  DE  YPFB</w:t>
            </w:r>
          </w:p>
        </w:tc>
      </w:tr>
      <w:tr w:rsidR="00BE2B0B" w:rsidTr="00BE2B0B">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hideMark/>
          </w:tcPr>
          <w:p w:rsidR="00BE2B0B" w:rsidRDefault="00BE2B0B">
            <w:pPr>
              <w:jc w:val="both"/>
              <w:rPr>
                <w:rFonts w:ascii="Arial Narrow" w:hAnsi="Arial Narrow" w:cs="Calibri"/>
                <w:sz w:val="22"/>
                <w:szCs w:val="22"/>
              </w:rPr>
            </w:pPr>
            <w:r>
              <w:rPr>
                <w:rFonts w:ascii="Arial Narrow" w:hAnsi="Arial Narrow" w:cs="Calibri"/>
                <w:sz w:val="22"/>
                <w:szCs w:val="22"/>
              </w:rPr>
              <w:t xml:space="preserve">La Empresa adjudicada de la provisión de </w:t>
            </w:r>
            <w:r>
              <w:rPr>
                <w:rFonts w:ascii="Arial Narrow" w:hAnsi="Arial Narrow" w:cs="Calibri"/>
                <w:b/>
                <w:sz w:val="22"/>
                <w:szCs w:val="22"/>
              </w:rPr>
              <w:t>“BIENES”</w:t>
            </w:r>
            <w:r>
              <w:rPr>
                <w:rFonts w:ascii="Arial Narrow" w:hAnsi="Arial Narrow" w:cs="Calibri"/>
                <w:sz w:val="22"/>
                <w:szCs w:val="22"/>
              </w:rPr>
              <w:t xml:space="preserve"> deberá cumplir con los estándares de Seguridad Industrial y Salud Ocupacional de YPFB. </w:t>
            </w:r>
          </w:p>
          <w:p w:rsidR="00BE2B0B" w:rsidRDefault="00BE2B0B" w:rsidP="003518C2">
            <w:pPr>
              <w:pStyle w:val="Prrafodelista"/>
              <w:numPr>
                <w:ilvl w:val="0"/>
                <w:numId w:val="7"/>
              </w:numPr>
              <w:spacing w:after="160"/>
              <w:ind w:left="12"/>
              <w:contextualSpacing/>
              <w:jc w:val="both"/>
              <w:rPr>
                <w:rFonts w:ascii="Arial Narrow" w:hAnsi="Arial Narrow" w:cs="Calibri"/>
                <w:b/>
              </w:rPr>
            </w:pPr>
            <w:r>
              <w:rPr>
                <w:rFonts w:ascii="Arial Narrow" w:hAnsi="Arial Narrow" w:cs="Calibri"/>
                <w:b/>
                <w:u w:val="single"/>
              </w:rPr>
              <w:t>ASPECTOS GENERALES</w:t>
            </w:r>
            <w:r>
              <w:rPr>
                <w:rFonts w:ascii="Arial Narrow" w:hAnsi="Arial Narrow" w:cs="Calibri"/>
                <w:b/>
              </w:rPr>
              <w:t xml:space="preserve">: </w:t>
            </w:r>
          </w:p>
          <w:p w:rsidR="00BE2B0B" w:rsidRDefault="00BE2B0B">
            <w:pPr>
              <w:pStyle w:val="Prrafodelista"/>
              <w:ind w:left="0"/>
              <w:jc w:val="both"/>
              <w:rPr>
                <w:rFonts w:ascii="Arial Narrow" w:hAnsi="Arial Narrow" w:cs="Times New Roman"/>
              </w:rPr>
            </w:pPr>
            <w:r>
              <w:rPr>
                <w:rFonts w:ascii="Arial Narrow" w:hAnsi="Arial Narrow"/>
              </w:rPr>
              <w:t>Para los procesos de contratación de bienes; en caso de que los mismos sean recibidos directamente en los almacenes de YPFB; no aplica una cláusula específica de SMS.</w:t>
            </w:r>
          </w:p>
          <w:p w:rsidR="00BE2B0B" w:rsidRDefault="00BE2B0B">
            <w:pPr>
              <w:rPr>
                <w:rFonts w:ascii="Arial Narrow" w:hAnsi="Arial Narrow"/>
                <w:bCs/>
                <w:sz w:val="22"/>
                <w:szCs w:val="22"/>
              </w:rPr>
            </w:pPr>
            <w:r>
              <w:rPr>
                <w:rFonts w:ascii="Arial Narrow" w:hAnsi="Arial Narrow"/>
                <w:bCs/>
                <w:sz w:val="22"/>
                <w:szCs w:val="22"/>
              </w:rPr>
              <w:t xml:space="preserve">Excepto lo establecido en adelante: </w:t>
            </w:r>
          </w:p>
          <w:p w:rsidR="00BE2B0B" w:rsidRDefault="00BE2B0B" w:rsidP="003518C2">
            <w:pPr>
              <w:pStyle w:val="Prrafodelista"/>
              <w:numPr>
                <w:ilvl w:val="0"/>
                <w:numId w:val="7"/>
              </w:numPr>
              <w:spacing w:after="160" w:line="256" w:lineRule="auto"/>
              <w:ind w:left="12"/>
              <w:contextualSpacing/>
              <w:rPr>
                <w:rFonts w:ascii="Arial Narrow" w:hAnsi="Arial Narrow"/>
                <w:b/>
              </w:rPr>
            </w:pPr>
            <w:r>
              <w:rPr>
                <w:rFonts w:ascii="Arial Narrow" w:hAnsi="Arial Narrow"/>
                <w:b/>
                <w:bCs/>
                <w:u w:val="single"/>
              </w:rPr>
              <w:t>RECOMENDACIONES</w:t>
            </w:r>
            <w:r>
              <w:rPr>
                <w:rFonts w:ascii="Arial Narrow" w:hAnsi="Arial Narrow"/>
                <w:b/>
              </w:rPr>
              <w:t xml:space="preserve">: </w:t>
            </w:r>
          </w:p>
          <w:p w:rsidR="00BE2B0B" w:rsidRDefault="00BE2B0B">
            <w:pPr>
              <w:jc w:val="both"/>
              <w:rPr>
                <w:rFonts w:ascii="Arial Narrow" w:hAnsi="Arial Narrow"/>
                <w:sz w:val="22"/>
                <w:szCs w:val="22"/>
              </w:rPr>
            </w:pPr>
            <w:r>
              <w:rPr>
                <w:rFonts w:ascii="Arial Narrow" w:hAnsi="Arial Narrow"/>
                <w:sz w:val="22"/>
                <w:szCs w:val="22"/>
              </w:rPr>
              <w:t>Para las tareas complementarias de entrega de bienes en los almacenes de YPFB, Unidad Solicitante a través de las Comisiones de Recepción y la Unidad SMS, deberán coordinar con la empresa Contratista a efectos de prevenir la ocurrencia de accidentes, incidentes y afectaciones al medio ambiente.</w:t>
            </w:r>
          </w:p>
          <w:p w:rsidR="00BE2B0B" w:rsidRDefault="00BE2B0B" w:rsidP="003518C2">
            <w:pPr>
              <w:pStyle w:val="Prrafodelista"/>
              <w:numPr>
                <w:ilvl w:val="1"/>
                <w:numId w:val="7"/>
              </w:numPr>
              <w:spacing w:after="160" w:line="256" w:lineRule="auto"/>
              <w:ind w:left="12"/>
              <w:contextualSpacing/>
              <w:jc w:val="both"/>
              <w:rPr>
                <w:rFonts w:ascii="Arial Narrow" w:hAnsi="Arial Narrow"/>
              </w:rPr>
            </w:pPr>
            <w:r>
              <w:rPr>
                <w:rFonts w:ascii="Arial Narrow" w:hAnsi="Arial Narrow"/>
              </w:rPr>
              <w:t xml:space="preserve">En caso de manipulación de bienes y materiales dentro de las instalaciones de YPFB; se deberán verificar las condiciones del sistema de </w:t>
            </w:r>
            <w:proofErr w:type="spellStart"/>
            <w:r>
              <w:rPr>
                <w:rFonts w:ascii="Arial Narrow" w:hAnsi="Arial Narrow"/>
              </w:rPr>
              <w:t>izaje</w:t>
            </w:r>
            <w:proofErr w:type="spellEnd"/>
            <w:r>
              <w:rPr>
                <w:rFonts w:ascii="Arial Narrow" w:hAnsi="Arial Narrow"/>
              </w:rPr>
              <w:t xml:space="preserve"> de cargas (cables, eslingas, estrobos, y otros elementos necesarios para este fin).</w:t>
            </w:r>
          </w:p>
          <w:p w:rsidR="00BE2B0B" w:rsidRDefault="00BE2B0B" w:rsidP="003518C2">
            <w:pPr>
              <w:pStyle w:val="Prrafodelista"/>
              <w:numPr>
                <w:ilvl w:val="1"/>
                <w:numId w:val="7"/>
              </w:numPr>
              <w:spacing w:after="160" w:line="240" w:lineRule="atLeast"/>
              <w:ind w:left="12"/>
              <w:contextualSpacing/>
              <w:jc w:val="both"/>
              <w:rPr>
                <w:rFonts w:ascii="Arial Narrow" w:hAnsi="Arial Narrow"/>
              </w:rPr>
            </w:pPr>
            <w:r>
              <w:rPr>
                <w:rFonts w:ascii="Arial Narrow" w:hAnsi="Arial Narrow"/>
              </w:rPr>
              <w:t xml:space="preserve">En caso de la entrega de equipos eléctricos y/o electrónicos, se recomienda verificar  las condiciones de suministro eléctrico en el equipo y en el lugar de la entrega, a fin de evitar daños en los mismos y al sistema eléctrico del lugar al momento de la instalación o pruebas, y para evitar accidentes personales debido a descargas eléctricas por  mala manipulación de los equipos. </w:t>
            </w:r>
          </w:p>
          <w:p w:rsidR="00BE2B0B" w:rsidRDefault="00BE2B0B" w:rsidP="003518C2">
            <w:pPr>
              <w:pStyle w:val="Prrafodelista"/>
              <w:numPr>
                <w:ilvl w:val="1"/>
                <w:numId w:val="7"/>
              </w:numPr>
              <w:spacing w:after="160" w:line="240" w:lineRule="atLeast"/>
              <w:ind w:left="12"/>
              <w:contextualSpacing/>
              <w:jc w:val="both"/>
              <w:rPr>
                <w:rFonts w:ascii="Arial Narrow" w:hAnsi="Arial Narrow"/>
              </w:rPr>
            </w:pPr>
            <w:r>
              <w:rPr>
                <w:rFonts w:ascii="Arial Narrow" w:hAnsi="Arial Narrow"/>
              </w:rPr>
              <w:t>Las tareas complementarias para la entrega de bienes/equipos/materiales/montaje, deberán ser coordinadas con el personal de SMS de la Unidad Solicitante, en estricto cumplimiento de la normativa vigente y las políticas de Seguridad Industrial de YPFB.</w:t>
            </w:r>
          </w:p>
        </w:tc>
      </w:tr>
    </w:tbl>
    <w:p w:rsidR="00A73266" w:rsidRPr="00BE2B0B" w:rsidRDefault="00A27D30">
      <w:pPr>
        <w:rPr>
          <w:lang w:val="es-BO"/>
        </w:rPr>
      </w:pPr>
    </w:p>
    <w:sectPr w:rsidR="00A73266" w:rsidRPr="00BE2B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66BDE"/>
    <w:multiLevelType w:val="hybridMultilevel"/>
    <w:tmpl w:val="F202B6F2"/>
    <w:lvl w:ilvl="0" w:tplc="0C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
    <w:nsid w:val="3F362DBE"/>
    <w:multiLevelType w:val="hybridMultilevel"/>
    <w:tmpl w:val="41DE3BD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4D590CDE"/>
    <w:multiLevelType w:val="multilevel"/>
    <w:tmpl w:val="A58C6966"/>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
    <w:nsid w:val="531D597E"/>
    <w:multiLevelType w:val="hybridMultilevel"/>
    <w:tmpl w:val="69C0476C"/>
    <w:lvl w:ilvl="0" w:tplc="80222AD4">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
    <w:nsid w:val="73817D05"/>
    <w:multiLevelType w:val="hybridMultilevel"/>
    <w:tmpl w:val="527E155C"/>
    <w:lvl w:ilvl="0" w:tplc="296C653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77BC4A2E"/>
    <w:multiLevelType w:val="hybridMultilevel"/>
    <w:tmpl w:val="ED5C70D6"/>
    <w:lvl w:ilvl="0" w:tplc="0C0A000B">
      <w:start w:val="1"/>
      <w:numFmt w:val="bullet"/>
      <w:lvlText w:val=""/>
      <w:lvlJc w:val="left"/>
      <w:pPr>
        <w:ind w:left="720" w:hanging="360"/>
      </w:pPr>
      <w:rPr>
        <w:rFonts w:ascii="Wingdings" w:hAnsi="Wingdings" w:hint="default"/>
      </w:rPr>
    </w:lvl>
    <w:lvl w:ilvl="1" w:tplc="39CEE502">
      <w:numFmt w:val="bullet"/>
      <w:lvlText w:val=""/>
      <w:lvlJc w:val="left"/>
      <w:pPr>
        <w:ind w:left="1440" w:hanging="360"/>
      </w:pPr>
      <w:rPr>
        <w:rFonts w:ascii="Times New Roman" w:eastAsia="Calibri" w:hAnsi="Times New Roman"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781F20A1"/>
    <w:multiLevelType w:val="hybridMultilevel"/>
    <w:tmpl w:val="D80CC8B8"/>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0B"/>
    <w:rsid w:val="00645925"/>
    <w:rsid w:val="00A27D30"/>
    <w:rsid w:val="00A672FC"/>
    <w:rsid w:val="00BE2B0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25AD6-12AD-4862-B758-65D45A1F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0B"/>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본문1 Car"/>
    <w:link w:val="Prrafodelista"/>
    <w:uiPriority w:val="34"/>
    <w:locked/>
    <w:rsid w:val="00BE2B0B"/>
    <w:rPr>
      <w:lang w:val="es-ES"/>
    </w:rPr>
  </w:style>
  <w:style w:type="paragraph" w:styleId="Prrafodelista">
    <w:name w:val="List Paragraph"/>
    <w:aliases w:val="본문1"/>
    <w:basedOn w:val="Normal"/>
    <w:link w:val="PrrafodelistaCar"/>
    <w:uiPriority w:val="34"/>
    <w:qFormat/>
    <w:rsid w:val="00BE2B0B"/>
    <w:pPr>
      <w:ind w:left="720"/>
    </w:pPr>
    <w:rPr>
      <w:rFonts w:asciiTheme="minorHAnsi" w:eastAsiaTheme="minorHAnsi" w:hAnsiTheme="minorHAnsi" w:cstheme="minorBidi"/>
      <w:sz w:val="22"/>
      <w:szCs w:val="22"/>
    </w:rPr>
  </w:style>
  <w:style w:type="paragraph" w:customStyle="1" w:styleId="Default">
    <w:name w:val="Default"/>
    <w:rsid w:val="00BE2B0B"/>
    <w:pPr>
      <w:autoSpaceDE w:val="0"/>
      <w:autoSpaceDN w:val="0"/>
      <w:adjustRightInd w:val="0"/>
      <w:spacing w:after="0" w:line="240" w:lineRule="auto"/>
    </w:pPr>
    <w:rPr>
      <w:rFonts w:ascii="Times New Roman" w:eastAsia="Calibri" w:hAnsi="Times New Roman" w:cs="Times New Roman"/>
      <w:color w:val="000000"/>
      <w:sz w:val="24"/>
      <w:szCs w:val="24"/>
      <w:lang w:val="es-ES"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9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1864</Words>
  <Characters>10253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Boado Quiroga Rojas</dc:creator>
  <cp:lastModifiedBy>Sandra Boado Quiroga Rojas</cp:lastModifiedBy>
  <cp:revision>2</cp:revision>
  <dcterms:created xsi:type="dcterms:W3CDTF">2018-04-16T23:19:00Z</dcterms:created>
  <dcterms:modified xsi:type="dcterms:W3CDTF">2018-04-17T02:48:00Z</dcterms:modified>
</cp:coreProperties>
</file>