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DB4C52">
        <w:rPr>
          <w:rFonts w:ascii="Bookman Old Style" w:hAnsi="Bookman Old Style"/>
          <w:b/>
          <w:color w:val="A6A6A6" w:themeColor="background1" w:themeShade="A6"/>
        </w:rPr>
        <w:t>4</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Default="002C4C53"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Pr="0033529B" w:rsidRDefault="00DB4C52" w:rsidP="002C4C53">
      <w:pPr>
        <w:spacing w:before="60" w:after="60" w:line="240" w:lineRule="auto"/>
        <w:ind w:left="708"/>
        <w:jc w:val="both"/>
        <w:rPr>
          <w:rFonts w:ascii="Bookman Old Style" w:hAnsi="Bookman Old Style"/>
          <w:sz w:val="20"/>
          <w:szCs w:val="20"/>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778" w:type="dxa"/>
        <w:jc w:val="center"/>
        <w:tblCellMar>
          <w:left w:w="70" w:type="dxa"/>
          <w:right w:w="70" w:type="dxa"/>
        </w:tblCellMar>
        <w:tblLook w:val="04A0" w:firstRow="1" w:lastRow="0" w:firstColumn="1" w:lastColumn="0" w:noHBand="0" w:noVBand="1"/>
      </w:tblPr>
      <w:tblGrid>
        <w:gridCol w:w="1700"/>
        <w:gridCol w:w="763"/>
        <w:gridCol w:w="3756"/>
        <w:gridCol w:w="2104"/>
        <w:gridCol w:w="2455"/>
      </w:tblGrid>
      <w:tr w:rsidR="0096382E" w:rsidRPr="004C270B" w:rsidTr="00DB4C52">
        <w:trPr>
          <w:trHeight w:val="755"/>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DB4C52">
        <w:trPr>
          <w:trHeight w:val="378"/>
          <w:jc w:val="center"/>
        </w:trPr>
        <w:tc>
          <w:tcPr>
            <w:tcW w:w="10778" w:type="dxa"/>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DB4C52" w:rsidP="0096382E">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 REQUISITOS DE PROTECCION AMBIENTAL CONTRATISTAS SERVICIOS DE MANTENIMIENTO</w:t>
            </w:r>
          </w:p>
        </w:tc>
      </w:tr>
      <w:tr w:rsidR="0096382E" w:rsidRPr="00183699" w:rsidTr="00DB4C52">
        <w:trPr>
          <w:trHeight w:val="280"/>
          <w:jc w:val="center"/>
        </w:trPr>
        <w:tc>
          <w:tcPr>
            <w:tcW w:w="10778"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DB4C52" w:rsidP="00DB4C52">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 xml:space="preserve"> SERVICIOS DE INSTALACION DE VALVULAS</w:t>
            </w:r>
            <w:r w:rsidR="001333A5">
              <w:rPr>
                <w:rFonts w:ascii="Times New Roman" w:eastAsia="Times New Roman" w:hAnsi="Times New Roman" w:cs="Times New Roman"/>
                <w:b/>
                <w:color w:val="FFFFFF" w:themeColor="background1"/>
                <w:lang w:eastAsia="es-BO"/>
              </w:rPr>
              <w:t xml:space="preserve"> RED PRIMARIA</w:t>
            </w:r>
            <w:r w:rsidR="0096382E"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0096382E" w:rsidRPr="00183699">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DB4C52">
        <w:trPr>
          <w:trHeight w:val="280"/>
          <w:jc w:val="center"/>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DB4C52">
        <w:trPr>
          <w:trHeight w:val="280"/>
          <w:jc w:val="center"/>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DB4C52">
        <w:trPr>
          <w:trHeight w:val="280"/>
          <w:jc w:val="center"/>
        </w:trPr>
        <w:tc>
          <w:tcPr>
            <w:tcW w:w="6219"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DB4C52">
        <w:trPr>
          <w:trHeight w:val="207"/>
          <w:jc w:val="center"/>
        </w:trPr>
        <w:tc>
          <w:tcPr>
            <w:tcW w:w="6219"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B4C52">
        <w:trPr>
          <w:trHeight w:val="280"/>
          <w:jc w:val="center"/>
        </w:trPr>
        <w:tc>
          <w:tcPr>
            <w:tcW w:w="2463"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DB4C52">
        <w:trPr>
          <w:trHeight w:val="442"/>
          <w:jc w:val="center"/>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DB4C52"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DB4C52">
            <w:pPr>
              <w:shd w:val="clear" w:color="auto" w:fill="FFE599" w:themeFill="accent4" w:themeFillTint="66"/>
              <w:spacing w:after="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DB4C52">
            <w:pPr>
              <w:pStyle w:val="Prrafodelista"/>
              <w:spacing w:after="0"/>
              <w:jc w:val="both"/>
              <w:rPr>
                <w:rFonts w:ascii="Times" w:hAnsi="Times" w:cs="Times"/>
                <w:sz w:val="20"/>
                <w:szCs w:val="20"/>
                <w:lang w:eastAsia="es-BO"/>
              </w:rPr>
            </w:pPr>
          </w:p>
          <w:p w:rsidR="0096382E"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B4C52" w:rsidRPr="00DB4C52" w:rsidRDefault="00DB4C52" w:rsidP="00DB4C52">
            <w:pPr>
              <w:pStyle w:val="Prrafodelista"/>
              <w:rPr>
                <w:rFonts w:ascii="Times" w:hAnsi="Times" w:cs="Times"/>
                <w:sz w:val="20"/>
                <w:szCs w:val="20"/>
                <w:lang w:eastAsia="es-BO"/>
              </w:rPr>
            </w:pP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DB4C52">
              <w:trPr>
                <w:jc w:val="center"/>
              </w:trPr>
              <w:tc>
                <w:tcPr>
                  <w:tcW w:w="828"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Código</w:t>
                  </w:r>
                </w:p>
              </w:tc>
              <w:tc>
                <w:tcPr>
                  <w:tcW w:w="1116"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2194"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450"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(Inicio)</w:t>
                  </w:r>
                </w:p>
              </w:tc>
              <w:tc>
                <w:tcPr>
                  <w:tcW w:w="1450"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DB4C52">
              <w:trPr>
                <w:jc w:val="center"/>
              </w:trPr>
              <w:tc>
                <w:tcPr>
                  <w:tcW w:w="828" w:type="dxa"/>
                </w:tcPr>
                <w:p w:rsidR="0096382E" w:rsidRPr="00042BAF" w:rsidRDefault="0096382E" w:rsidP="00DB4C52">
                  <w:pPr>
                    <w:jc w:val="center"/>
                    <w:rPr>
                      <w:rFonts w:ascii="Times" w:hAnsi="Times" w:cs="Times"/>
                      <w:sz w:val="20"/>
                      <w:szCs w:val="20"/>
                      <w:lang w:eastAsia="es-BO"/>
                    </w:rPr>
                  </w:pPr>
                </w:p>
              </w:tc>
              <w:tc>
                <w:tcPr>
                  <w:tcW w:w="1116" w:type="dxa"/>
                </w:tcPr>
                <w:p w:rsidR="0096382E" w:rsidRPr="00042BAF" w:rsidRDefault="0096382E" w:rsidP="00DB4C52">
                  <w:pPr>
                    <w:jc w:val="center"/>
                    <w:rPr>
                      <w:rFonts w:ascii="Times" w:hAnsi="Times" w:cs="Times"/>
                      <w:sz w:val="20"/>
                      <w:szCs w:val="20"/>
                      <w:lang w:eastAsia="es-BO"/>
                    </w:rPr>
                  </w:pPr>
                </w:p>
              </w:tc>
              <w:tc>
                <w:tcPr>
                  <w:tcW w:w="2194" w:type="dxa"/>
                </w:tcPr>
                <w:p w:rsidR="0096382E" w:rsidRPr="00042BAF" w:rsidRDefault="0096382E" w:rsidP="00DB4C52">
                  <w:pPr>
                    <w:jc w:val="center"/>
                    <w:rPr>
                      <w:rFonts w:ascii="Times" w:hAnsi="Times" w:cs="Times"/>
                      <w:sz w:val="20"/>
                      <w:szCs w:val="20"/>
                      <w:lang w:eastAsia="es-BO"/>
                    </w:rPr>
                  </w:pPr>
                </w:p>
              </w:tc>
              <w:tc>
                <w:tcPr>
                  <w:tcW w:w="1450" w:type="dxa"/>
                </w:tcPr>
                <w:p w:rsidR="0096382E" w:rsidRPr="00042BAF" w:rsidRDefault="0096382E" w:rsidP="00DB4C52">
                  <w:pPr>
                    <w:jc w:val="center"/>
                    <w:rPr>
                      <w:rFonts w:ascii="Times" w:hAnsi="Times" w:cs="Times"/>
                      <w:sz w:val="20"/>
                      <w:szCs w:val="20"/>
                      <w:lang w:eastAsia="es-BO"/>
                    </w:rPr>
                  </w:pPr>
                </w:p>
              </w:tc>
              <w:tc>
                <w:tcPr>
                  <w:tcW w:w="1450" w:type="dxa"/>
                </w:tcPr>
                <w:p w:rsidR="0096382E" w:rsidRPr="00042BAF" w:rsidRDefault="0096382E" w:rsidP="00DB4C52">
                  <w:pPr>
                    <w:jc w:val="center"/>
                    <w:rPr>
                      <w:rFonts w:ascii="Times" w:hAnsi="Times" w:cs="Times"/>
                      <w:sz w:val="20"/>
                      <w:szCs w:val="20"/>
                      <w:lang w:eastAsia="es-BO"/>
                    </w:rPr>
                  </w:pPr>
                </w:p>
              </w:tc>
              <w:tc>
                <w:tcPr>
                  <w:tcW w:w="1134" w:type="dxa"/>
                </w:tcPr>
                <w:p w:rsidR="0096382E" w:rsidRPr="00042BAF" w:rsidRDefault="0096382E" w:rsidP="00DB4C52">
                  <w:pPr>
                    <w:jc w:val="center"/>
                    <w:rPr>
                      <w:rFonts w:ascii="Times" w:hAnsi="Times" w:cs="Times"/>
                      <w:sz w:val="20"/>
                      <w:szCs w:val="20"/>
                      <w:lang w:eastAsia="es-BO"/>
                    </w:rPr>
                  </w:pPr>
                </w:p>
              </w:tc>
              <w:tc>
                <w:tcPr>
                  <w:tcW w:w="1432" w:type="dxa"/>
                </w:tcPr>
                <w:p w:rsidR="0096382E" w:rsidRPr="00042BAF" w:rsidRDefault="0096382E" w:rsidP="00DB4C52">
                  <w:pPr>
                    <w:jc w:val="center"/>
                    <w:rPr>
                      <w:rFonts w:ascii="Times" w:hAnsi="Times" w:cs="Times"/>
                      <w:sz w:val="20"/>
                      <w:szCs w:val="20"/>
                      <w:lang w:eastAsia="es-BO"/>
                    </w:rPr>
                  </w:pPr>
                </w:p>
              </w:tc>
            </w:tr>
          </w:tbl>
          <w:p w:rsidR="00DB4C52" w:rsidRPr="00DB4C52" w:rsidRDefault="00DB4C52" w:rsidP="00DB4C52">
            <w:pPr>
              <w:pStyle w:val="Prrafodelista"/>
              <w:spacing w:after="0" w:line="240" w:lineRule="auto"/>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DB4C52">
            <w:pPr>
              <w:pStyle w:val="Prrafodelista"/>
              <w:spacing w:after="0" w:line="240" w:lineRule="auto"/>
              <w:jc w:val="both"/>
              <w:rPr>
                <w:rFonts w:ascii="Times" w:hAnsi="Times" w:cs="Times"/>
                <w:sz w:val="20"/>
                <w:szCs w:val="20"/>
                <w:lang w:eastAsia="es-BO"/>
              </w:rPr>
            </w:pP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0"/>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DB4C52">
            <w:pPr>
              <w:pStyle w:val="Prrafodelista"/>
              <w:numPr>
                <w:ilvl w:val="0"/>
                <w:numId w:val="8"/>
              </w:numPr>
              <w:spacing w:after="0"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DB4C52">
            <w:pPr>
              <w:pStyle w:val="Prrafodelista"/>
              <w:numPr>
                <w:ilvl w:val="0"/>
                <w:numId w:val="8"/>
              </w:numPr>
              <w:spacing w:after="0"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DB4C52">
            <w:pPr>
              <w:pStyle w:val="Prrafodelista"/>
              <w:numPr>
                <w:ilvl w:val="0"/>
                <w:numId w:val="9"/>
              </w:numPr>
              <w:spacing w:after="0"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DB4C52">
      <w:pPr>
        <w:tabs>
          <w:tab w:val="left" w:pos="1620"/>
        </w:tabs>
        <w:rPr>
          <w:rFonts w:ascii="Bookman Old Style" w:hAnsi="Bookman Old Style"/>
          <w:sz w:val="20"/>
          <w:szCs w:val="20"/>
        </w:rPr>
      </w:pPr>
      <w:bookmarkStart w:id="0" w:name="_GoBack"/>
      <w:bookmarkEnd w:id="0"/>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31F" w:rsidRDefault="00B6431F" w:rsidP="004E1A67">
      <w:pPr>
        <w:spacing w:after="0" w:line="240" w:lineRule="auto"/>
      </w:pPr>
      <w:r>
        <w:separator/>
      </w:r>
    </w:p>
  </w:endnote>
  <w:endnote w:type="continuationSeparator" w:id="0">
    <w:p w:rsidR="00B6431F" w:rsidRDefault="00B6431F"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31F" w:rsidRDefault="00B6431F" w:rsidP="004E1A67">
      <w:pPr>
        <w:spacing w:after="0" w:line="240" w:lineRule="auto"/>
      </w:pPr>
      <w:r>
        <w:separator/>
      </w:r>
    </w:p>
  </w:footnote>
  <w:footnote w:type="continuationSeparator" w:id="0">
    <w:p w:rsidR="00B6431F" w:rsidRDefault="00B6431F"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DB4C52">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DB4C52">
            <w:rPr>
              <w:rFonts w:ascii="Bookman Old Style" w:hAnsi="Bookman Old Style"/>
            </w:rPr>
            <w:t>4</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B4C52">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B4C52">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6431F"/>
    <w:rsid w:val="00B82EE0"/>
    <w:rsid w:val="00B84FA2"/>
    <w:rsid w:val="00BF4979"/>
    <w:rsid w:val="00C003AA"/>
    <w:rsid w:val="00C32C53"/>
    <w:rsid w:val="00C651AE"/>
    <w:rsid w:val="00C85354"/>
    <w:rsid w:val="00CB77FD"/>
    <w:rsid w:val="00CD3189"/>
    <w:rsid w:val="00D327AE"/>
    <w:rsid w:val="00D35A9C"/>
    <w:rsid w:val="00D844B3"/>
    <w:rsid w:val="00DB4C52"/>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45E72-F7EE-4595-9510-753844CA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1265</Words>
  <Characters>6958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11</cp:revision>
  <cp:lastPrinted>2016-06-10T15:18:00Z</cp:lastPrinted>
  <dcterms:created xsi:type="dcterms:W3CDTF">2016-06-10T00:46:00Z</dcterms:created>
  <dcterms:modified xsi:type="dcterms:W3CDTF">2018-03-02T18:57:00Z</dcterms:modified>
</cp:coreProperties>
</file>