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Análisis preliminar de peligros y riesgos (asociados a la actividad), tiempo, magnitud del proyecto, número de trabajadores y numero de frentes de trabajo.</w:t>
      </w:r>
    </w:p>
    <w:p w:rsidR="0074275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En cumplimiento a la LGT Art.73,</w:t>
      </w:r>
      <w:r w:rsidRPr="002260FA">
        <w:rPr>
          <w:rFonts w:asciiTheme="minorHAnsi" w:hAnsiTheme="minorHAnsi" w:cstheme="minorHAnsi"/>
          <w:color w:val="FF0000"/>
        </w:rPr>
        <w:t xml:space="preserve"> </w:t>
      </w:r>
      <w:r w:rsidRPr="002260FA">
        <w:rPr>
          <w:rFonts w:asciiTheme="minorHAnsi" w:hAnsiTheme="minorHAnsi" w:cstheme="minorHAnsi"/>
        </w:rPr>
        <w:t xml:space="preserve">se establece que todo proyecto con más de 80 trabajadores  deberá contar necesariamente con personal médico (in situ). </w:t>
      </w:r>
      <w:r w:rsidR="0074275E" w:rsidRPr="002260FA">
        <w:rPr>
          <w:rFonts w:asciiTheme="minorHAnsi" w:hAnsiTheme="minorHAnsi" w:cstheme="minorHAnsi"/>
        </w:rPr>
        <w:t>4</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BC050D">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Proyectos de Red Primaria</w:t>
      </w:r>
      <w:r w:rsidR="0064672E" w:rsidRPr="002260FA">
        <w:rPr>
          <w:rFonts w:asciiTheme="minorHAnsi" w:hAnsiTheme="minorHAnsi" w:cstheme="minorHAnsi"/>
          <w:b/>
        </w:rPr>
        <w:t>/EDR</w:t>
      </w:r>
      <w:r w:rsidRPr="002260FA">
        <w:rPr>
          <w:rFonts w:asciiTheme="minorHAnsi" w:hAnsiTheme="minorHAnsi" w:cstheme="minorHAnsi"/>
          <w:b/>
        </w:rPr>
        <w:t>:</w:t>
      </w:r>
    </w:p>
    <w:p w:rsidR="00B2486F"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Supervisor ó Coordinador SMS</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2260FA" w:rsidRDefault="00B2486F" w:rsidP="00BC050D">
      <w:pPr>
        <w:pStyle w:val="Prrafodelista"/>
        <w:numPr>
          <w:ilvl w:val="0"/>
          <w:numId w:val="16"/>
        </w:numPr>
        <w:spacing w:before="240" w:after="120"/>
        <w:jc w:val="both"/>
        <w:rPr>
          <w:rFonts w:asciiTheme="minorHAnsi" w:hAnsiTheme="minorHAnsi" w:cstheme="minorHAnsi"/>
          <w:b/>
        </w:rPr>
      </w:pPr>
      <w:r w:rsidRPr="002260FA">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2260FA" w:rsidTr="00DF351B">
        <w:trPr>
          <w:jc w:val="center"/>
        </w:trPr>
        <w:tc>
          <w:tcPr>
            <w:tcW w:w="1014" w:type="pct"/>
            <w:shd w:val="clear" w:color="auto" w:fill="auto"/>
          </w:tcPr>
          <w:p w:rsidR="00B2486F" w:rsidRPr="002260FA" w:rsidRDefault="00B2486F" w:rsidP="00DF351B">
            <w:pPr>
              <w:spacing w:before="120" w:after="120"/>
              <w:jc w:val="center"/>
              <w:rPr>
                <w:rFonts w:asciiTheme="minorHAnsi" w:hAnsiTheme="minorHAnsi" w:cstheme="minorHAnsi"/>
                <w:b/>
                <w:lang w:val="es-BO"/>
              </w:rPr>
            </w:pPr>
            <w:r w:rsidRPr="002260FA">
              <w:rPr>
                <w:rFonts w:asciiTheme="minorHAnsi" w:hAnsiTheme="minorHAnsi" w:cstheme="minorHAnsi"/>
                <w:b/>
                <w:lang w:val="es-BO"/>
              </w:rPr>
              <w:t>Nivel</w:t>
            </w:r>
          </w:p>
        </w:tc>
        <w:tc>
          <w:tcPr>
            <w:tcW w:w="3986" w:type="pct"/>
            <w:shd w:val="clear" w:color="auto" w:fill="auto"/>
          </w:tcPr>
          <w:p w:rsidR="00B2486F" w:rsidRPr="002260FA" w:rsidRDefault="00B2486F" w:rsidP="00DF351B">
            <w:pPr>
              <w:spacing w:before="120" w:after="120"/>
              <w:jc w:val="center"/>
              <w:rPr>
                <w:rFonts w:asciiTheme="minorHAnsi" w:hAnsiTheme="minorHAnsi" w:cstheme="minorHAnsi"/>
                <w:b/>
                <w:lang w:val="es-BO"/>
              </w:rPr>
            </w:pPr>
            <w:r w:rsidRPr="002260FA">
              <w:rPr>
                <w:rFonts w:asciiTheme="minorHAnsi" w:hAnsiTheme="minorHAnsi" w:cstheme="minorHAnsi"/>
                <w:b/>
                <w:lang w:val="es-BO"/>
              </w:rPr>
              <w:t>Requisitos</w:t>
            </w:r>
          </w:p>
        </w:tc>
      </w:tr>
      <w:tr w:rsidR="00B2486F" w:rsidRPr="002260FA" w:rsidTr="00DF351B">
        <w:trPr>
          <w:trHeight w:val="404"/>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Educación </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lang w:val="es-BO"/>
              </w:rPr>
            </w:pPr>
            <w:r w:rsidRPr="002260FA">
              <w:rPr>
                <w:rFonts w:asciiTheme="minorHAnsi" w:hAnsiTheme="minorHAnsi" w:cstheme="minorHAnsi"/>
                <w:lang w:val="es-BO"/>
              </w:rPr>
              <w:t>Profesional a nivel licenciatura en ingeniería o ramas afines.</w:t>
            </w:r>
          </w:p>
        </w:tc>
      </w:tr>
      <w:tr w:rsidR="00B2486F" w:rsidRPr="002260FA" w:rsidTr="00DF351B">
        <w:trPr>
          <w:trHeight w:val="288"/>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Formación OBLIGATORIA </w:t>
            </w:r>
            <w:r w:rsidRPr="002260FA">
              <w:rPr>
                <w:rFonts w:asciiTheme="minorHAnsi" w:hAnsiTheme="minorHAnsi" w:cstheme="minorHAnsi"/>
                <w:lang w:val="es-BO"/>
              </w:rPr>
              <w:t>(Cursos, seminarios, talleres, etc.)</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Seguridad Industrial, Salud Ocupacional &amp; Medio Ambiente</w:t>
            </w:r>
          </w:p>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 xml:space="preserve">Cursos relacionados con “Sistemas de Gestión  de Seguridad, Salud Ocupacional y Medio Ambiente” (OHSAS 18001 - ISO 14001). </w:t>
            </w:r>
          </w:p>
        </w:tc>
      </w:tr>
      <w:tr w:rsidR="00B2486F" w:rsidRPr="002260FA" w:rsidTr="00DF351B">
        <w:trPr>
          <w:trHeight w:val="1218"/>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Formación</w:t>
            </w:r>
          </w:p>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DESEABLE </w:t>
            </w:r>
            <w:r w:rsidRPr="002260FA">
              <w:rPr>
                <w:rFonts w:asciiTheme="minorHAnsi" w:hAnsiTheme="minorHAnsi" w:cstheme="minorHAnsi"/>
                <w:lang w:val="es-BO"/>
              </w:rPr>
              <w:t>(Cursos, seminarios, talleres, etc.)</w:t>
            </w:r>
          </w:p>
        </w:tc>
        <w:tc>
          <w:tcPr>
            <w:tcW w:w="3986" w:type="pct"/>
            <w:shd w:val="clear" w:color="auto" w:fill="auto"/>
          </w:tcPr>
          <w:p w:rsidR="00B2486F" w:rsidRPr="002260FA" w:rsidRDefault="00B2486F" w:rsidP="003D6001">
            <w:pPr>
              <w:spacing w:before="120" w:after="120"/>
              <w:jc w:val="both"/>
              <w:rPr>
                <w:rFonts w:asciiTheme="minorHAnsi" w:hAnsiTheme="minorHAnsi" w:cstheme="minorHAnsi"/>
              </w:rPr>
            </w:pPr>
            <w:r w:rsidRPr="002260FA">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2260FA">
              <w:rPr>
                <w:rFonts w:asciiTheme="minorHAnsi" w:hAnsiTheme="minorHAnsi" w:cstheme="minorHAnsi"/>
              </w:rPr>
              <w:t xml:space="preserve"> </w:t>
            </w:r>
            <w:r w:rsidRPr="002260FA">
              <w:rPr>
                <w:rFonts w:asciiTheme="minorHAnsi" w:hAnsiTheme="minorHAnsi" w:cstheme="minorHAnsi"/>
              </w:rPr>
              <w:t>Manejo de sustancias peligrosas, lucha contra incendios, Primeros Auxilios Básicos. Manejo Defensivo.</w:t>
            </w:r>
          </w:p>
        </w:tc>
      </w:tr>
      <w:tr w:rsidR="00B2486F" w:rsidRPr="002260FA" w:rsidTr="003D6001">
        <w:trPr>
          <w:trHeight w:val="357"/>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lastRenderedPageBreak/>
              <w:t>Experiencia</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Experiencia especifica:</w:t>
            </w:r>
          </w:p>
          <w:p w:rsidR="00B2486F" w:rsidRPr="002260FA" w:rsidRDefault="00B2486F" w:rsidP="00BC050D">
            <w:pPr>
              <w:pStyle w:val="Prrafodelista"/>
              <w:numPr>
                <w:ilvl w:val="0"/>
                <w:numId w:val="15"/>
              </w:numPr>
              <w:spacing w:before="120" w:after="120"/>
              <w:jc w:val="both"/>
              <w:rPr>
                <w:rFonts w:asciiTheme="minorHAnsi" w:hAnsiTheme="minorHAnsi" w:cstheme="minorHAnsi"/>
              </w:rPr>
            </w:pPr>
            <w:r w:rsidRPr="002260FA">
              <w:rPr>
                <w:rFonts w:asciiTheme="minorHAnsi" w:hAnsiTheme="minorHAnsi" w:cstheme="minorHAnsi"/>
                <w:lang w:val="es-BO"/>
              </w:rPr>
              <w:t xml:space="preserve">Manejo y/o supervisión de personal  </w:t>
            </w:r>
          </w:p>
          <w:p w:rsidR="00B2486F" w:rsidRPr="002260FA" w:rsidRDefault="00B2486F" w:rsidP="00BC050D">
            <w:pPr>
              <w:pStyle w:val="Prrafodelista"/>
              <w:numPr>
                <w:ilvl w:val="0"/>
                <w:numId w:val="15"/>
              </w:numPr>
              <w:spacing w:before="120" w:after="120"/>
              <w:jc w:val="both"/>
              <w:rPr>
                <w:rFonts w:asciiTheme="minorHAnsi" w:hAnsiTheme="minorHAnsi" w:cstheme="minorHAnsi"/>
              </w:rPr>
            </w:pPr>
            <w:r w:rsidRPr="002260FA">
              <w:rPr>
                <w:rFonts w:asciiTheme="minorHAnsi" w:hAnsiTheme="minorHAnsi" w:cstheme="minorHAnsi"/>
                <w:lang w:val="es-BO"/>
              </w:rPr>
              <w:t>Gestión de indicadores de SySO</w:t>
            </w:r>
          </w:p>
        </w:tc>
      </w:tr>
    </w:tbl>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2260FA" w:rsidRPr="002260FA" w:rsidRDefault="002260FA"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lastRenderedPageBreak/>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lastRenderedPageBreak/>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2260FA" w:rsidRP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lastRenderedPageBreak/>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E806D0" w:rsidP="005F621C">
      <w:pPr>
        <w:jc w:val="both"/>
        <w:rPr>
          <w:rFonts w:asciiTheme="minorHAnsi" w:hAnsiTheme="minorHAnsi" w:cstheme="minorHAnsi"/>
          <w:sz w:val="22"/>
        </w:rPr>
      </w:pP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PÓLIZA TODO RIESGO DE CONSTRUCCIÓN</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Durante la ejecución de la obra, el Contratista deberá mantener por su cuenta y cargo una póliza de Seguro adecuada, para asegurar contra todo riesgo, las obras en </w:t>
      </w:r>
      <w:r w:rsidR="00EE5520" w:rsidRPr="002260FA">
        <w:rPr>
          <w:rFonts w:asciiTheme="minorHAnsi" w:hAnsiTheme="minorHAnsi" w:cstheme="minorHAnsi"/>
          <w:sz w:val="22"/>
          <w:szCs w:val="22"/>
        </w:rPr>
        <w:t>ejecución y</w:t>
      </w:r>
      <w:r w:rsidRPr="002260FA">
        <w:rPr>
          <w:rFonts w:asciiTheme="minorHAnsi" w:hAnsiTheme="minorHAnsi" w:cstheme="minorHAnsi"/>
          <w:sz w:val="22"/>
          <w:szCs w:val="22"/>
        </w:rPr>
        <w:t xml:space="preserve"> materiales.</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misma que cubrirá las construccio</w:t>
      </w:r>
      <w:r w:rsidR="00EE5520" w:rsidRPr="002260FA">
        <w:rPr>
          <w:rFonts w:asciiTheme="minorHAnsi" w:hAnsiTheme="minorHAnsi" w:cstheme="minorHAnsi"/>
          <w:sz w:val="22"/>
          <w:szCs w:val="22"/>
        </w:rPr>
        <w:t>nes a efectuar de acuerdo al documento base de contratación</w:t>
      </w:r>
      <w:r w:rsidRPr="002260FA">
        <w:rPr>
          <w:rFonts w:asciiTheme="minorHAnsi" w:hAnsiTheme="minorHAnsi" w:cstheme="minorHAns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sidRPr="002260FA">
        <w:rPr>
          <w:rFonts w:asciiTheme="minorHAnsi" w:hAnsiTheme="minorHAnsi" w:cstheme="minorHAnsi"/>
          <w:sz w:val="22"/>
          <w:szCs w:val="22"/>
        </w:rPr>
        <w:t>.</w:t>
      </w:r>
    </w:p>
    <w:p w:rsidR="0074275E" w:rsidRPr="002260FA" w:rsidRDefault="0074275E" w:rsidP="00624F1E">
      <w:pPr>
        <w:tabs>
          <w:tab w:val="left" w:pos="1206"/>
        </w:tabs>
        <w:contextualSpacing/>
        <w:jc w:val="both"/>
        <w:rPr>
          <w:rFonts w:asciiTheme="minorHAnsi" w:hAnsiTheme="minorHAnsi" w:cstheme="minorHAnsi"/>
          <w:sz w:val="22"/>
          <w:szCs w:val="22"/>
        </w:rPr>
      </w:pPr>
    </w:p>
    <w:p w:rsidR="00EE5520" w:rsidRPr="002260FA" w:rsidRDefault="00EE5520" w:rsidP="00EE5520">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Durante la ejecución de la obra, el Contratista deberá mantener por su cuenta y cargo una póliza de Seguro adecuada, para asegurar contra todo riesgo, las obras en ejecución y materiales. </w:t>
      </w:r>
    </w:p>
    <w:p w:rsidR="00EE5520" w:rsidRPr="002260FA" w:rsidRDefault="00EE5520" w:rsidP="00EE5520">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misma que cubrirá las construcciones a efectuar de acuerdo al documento base de contratación,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EE5520" w:rsidRPr="002260FA" w:rsidRDefault="00EE5520" w:rsidP="00624F1E">
      <w:pPr>
        <w:tabs>
          <w:tab w:val="left" w:pos="1206"/>
        </w:tabs>
        <w:contextualSpacing/>
        <w:jc w:val="both"/>
        <w:rPr>
          <w:rFonts w:asciiTheme="minorHAnsi" w:hAnsiTheme="minorHAnsi" w:cstheme="minorHAnsi"/>
          <w:sz w:val="22"/>
          <w:szCs w:val="22"/>
          <w:lang w:val="es-BO"/>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SEGURO DE RESPONSABILIDAD CIVIL.</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Por daños a terceros, o bienes de terceros, por cualquier causa que durante </w:t>
      </w:r>
      <w:r w:rsidR="00B3406B" w:rsidRPr="002260FA">
        <w:rPr>
          <w:rFonts w:asciiTheme="minorHAnsi" w:hAnsiTheme="minorHAnsi" w:cstheme="minorHAnsi"/>
          <w:sz w:val="22"/>
          <w:szCs w:val="22"/>
        </w:rPr>
        <w:t>ejecución de la obra</w:t>
      </w:r>
      <w:r w:rsidRPr="002260FA">
        <w:rPr>
          <w:rFonts w:asciiTheme="minorHAnsi" w:hAnsiTheme="minorHAnsi" w:cstheme="minorHAnsi"/>
          <w:sz w:val="22"/>
          <w:szCs w:val="22"/>
        </w:rPr>
        <w:t xml:space="preserve">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2260FA" w:rsidRDefault="00624F1E"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PÓLIZA DE ACCIDENTES PERSONALES.</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2260FA" w:rsidRDefault="00164342" w:rsidP="00164342">
      <w:pPr>
        <w:jc w:val="both"/>
        <w:rPr>
          <w:rFonts w:asciiTheme="minorHAnsi" w:hAnsiTheme="minorHAnsi" w:cstheme="minorHAnsi"/>
          <w:sz w:val="18"/>
          <w:szCs w:val="20"/>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2260FA" w:rsidRDefault="002260FA" w:rsidP="002260FA">
      <w:pPr>
        <w:pStyle w:val="Prrafodelista"/>
        <w:rPr>
          <w:rFonts w:asciiTheme="minorHAnsi" w:hAnsiTheme="minorHAnsi" w:cstheme="minorHAnsi"/>
          <w:sz w:val="22"/>
        </w:rPr>
      </w:pPr>
    </w:p>
    <w:p w:rsidR="002260FA" w:rsidRDefault="002260FA" w:rsidP="002260FA">
      <w:pPr>
        <w:jc w:val="both"/>
        <w:rPr>
          <w:rFonts w:asciiTheme="minorHAnsi" w:hAnsiTheme="minorHAnsi" w:cstheme="minorHAnsi"/>
          <w:sz w:val="22"/>
        </w:rPr>
      </w:pPr>
    </w:p>
    <w:p w:rsidR="002260FA" w:rsidRPr="002260FA" w:rsidRDefault="002260FA" w:rsidP="002260FA">
      <w:pPr>
        <w:jc w:val="both"/>
        <w:rPr>
          <w:rFonts w:asciiTheme="minorHAnsi" w:hAnsiTheme="minorHAnsi" w:cstheme="minorHAnsi"/>
          <w:sz w:val="22"/>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tabs>
          <w:tab w:val="left" w:pos="1206"/>
        </w:tabs>
        <w:contextualSpacing/>
        <w:jc w:val="both"/>
        <w:rPr>
          <w:rFonts w:asciiTheme="minorHAnsi" w:hAnsiTheme="minorHAnsi" w:cstheme="minorHAnsi"/>
          <w:sz w:val="22"/>
          <w:szCs w:val="22"/>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BC050D">
      <w:pPr>
        <w:pStyle w:val="Ttulo2"/>
        <w:numPr>
          <w:ilvl w:val="1"/>
          <w:numId w:val="10"/>
        </w:numPr>
        <w:rPr>
          <w:rFonts w:asciiTheme="minorHAnsi" w:hAnsiTheme="minorHAnsi" w:cstheme="minorHAnsi"/>
          <w:color w:val="auto"/>
        </w:rPr>
      </w:pPr>
      <w:r w:rsidRPr="002260FA">
        <w:rPr>
          <w:rFonts w:asciiTheme="minorHAnsi" w:hAnsiTheme="minorHAnsi" w:cstheme="minorHAnsi"/>
          <w:b/>
          <w:color w:val="auto"/>
          <w:sz w:val="22"/>
          <w:szCs w:val="22"/>
        </w:rPr>
        <w:t>GARANTÍA ADICIONAL DE CUMPLIMIENTO DE CONTRATO DE OBRA</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w:t>
      </w:r>
      <w:r w:rsidRPr="002260FA">
        <w:rPr>
          <w:rFonts w:asciiTheme="minorHAnsi" w:hAnsiTheme="minorHAnsi" w:cstheme="minorHAnsi"/>
          <w:sz w:val="22"/>
          <w:szCs w:val="20"/>
        </w:rPr>
        <w:lastRenderedPageBreak/>
        <w:t xml:space="preserve">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2260FA" w:rsidRPr="002260FA" w:rsidRDefault="002260FA"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lastRenderedPageBreak/>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w:t>
            </w:r>
            <w:r w:rsidRPr="002260FA">
              <w:rPr>
                <w:rFonts w:asciiTheme="minorHAnsi" w:hAnsiTheme="minorHAnsi" w:cstheme="minorHAnsi"/>
                <w:sz w:val="20"/>
                <w:szCs w:val="20"/>
              </w:rPr>
              <w:lastRenderedPageBreak/>
              <w:t xml:space="preserve">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YPFB para </w:t>
      </w:r>
      <w:r w:rsidRPr="002260FA">
        <w:rPr>
          <w:rFonts w:asciiTheme="minorHAnsi" w:hAnsiTheme="minorHAnsi" w:cstheme="minorHAnsi"/>
          <w:sz w:val="22"/>
          <w:szCs w:val="22"/>
          <w:lang w:val="es-BO" w:eastAsia="es-BO"/>
        </w:rPr>
        <w:lastRenderedPageBreak/>
        <w:t>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167" w:rsidRDefault="00AE5167" w:rsidP="00E92156">
      <w:r>
        <w:separator/>
      </w:r>
    </w:p>
  </w:endnote>
  <w:endnote w:type="continuationSeparator" w:id="0">
    <w:p w:rsidR="00AE5167" w:rsidRDefault="00AE5167"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3D" w:rsidRDefault="00724A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719" w:type="dxa"/>
      <w:tblInd w:w="-5" w:type="dxa"/>
      <w:tblLook w:val="04A0" w:firstRow="1" w:lastRow="0" w:firstColumn="1" w:lastColumn="0" w:noHBand="0" w:noVBand="1"/>
    </w:tblPr>
    <w:tblGrid>
      <w:gridCol w:w="3239"/>
      <w:gridCol w:w="3240"/>
      <w:gridCol w:w="3240"/>
    </w:tblGrid>
    <w:tr w:rsidR="00E16918" w:rsidRPr="000810BB" w:rsidTr="002260FA">
      <w:trPr>
        <w:trHeight w:val="138"/>
      </w:trPr>
      <w:tc>
        <w:tcPr>
          <w:tcW w:w="323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40"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240"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2260FA">
      <w:trPr>
        <w:trHeight w:val="839"/>
      </w:trPr>
      <w:tc>
        <w:tcPr>
          <w:tcW w:w="3239"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240" w:type="dxa"/>
        </w:tcPr>
        <w:p w:rsidR="00E16918" w:rsidRDefault="00E16918" w:rsidP="00E16918">
          <w:pPr>
            <w:pStyle w:val="Piedepgina"/>
            <w:rPr>
              <w:rFonts w:ascii="Calibri" w:hAnsi="Calibri"/>
              <w:sz w:val="16"/>
              <w:szCs w:val="16"/>
              <w:lang w:val="es-BO" w:eastAsia="en-US"/>
            </w:rPr>
          </w:pPr>
        </w:p>
      </w:tc>
      <w:tc>
        <w:tcPr>
          <w:tcW w:w="3240"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E16918" w:rsidRPr="000810BB" w:rsidTr="002260FA">
      <w:trPr>
        <w:trHeight w:val="553"/>
      </w:trPr>
      <w:tc>
        <w:tcPr>
          <w:tcW w:w="3239" w:type="dxa"/>
        </w:tcPr>
        <w:p w:rsidR="00E16918" w:rsidRDefault="00E16918" w:rsidP="00E16918">
          <w:pPr>
            <w:jc w:val="center"/>
            <w:rPr>
              <w:rFonts w:ascii="Vijaya" w:hAnsi="Vijaya" w:cs="Vijaya"/>
              <w:sz w:val="16"/>
              <w:szCs w:val="16"/>
              <w:lang w:val="es-BO" w:eastAsia="en-US"/>
            </w:rPr>
          </w:pPr>
        </w:p>
        <w:p w:rsidR="00E16918" w:rsidRDefault="00E16918" w:rsidP="00E16918">
          <w:pPr>
            <w:jc w:val="center"/>
            <w:rPr>
              <w:rFonts w:ascii="Vijaya" w:hAnsi="Vijaya" w:cs="Vijaya"/>
              <w:sz w:val="16"/>
              <w:szCs w:val="16"/>
              <w:lang w:val="en-US" w:eastAsia="en-US"/>
            </w:rPr>
          </w:pPr>
        </w:p>
        <w:p w:rsidR="00724A3D" w:rsidRPr="00724A3D" w:rsidRDefault="00724A3D" w:rsidP="00E16918">
          <w:pPr>
            <w:jc w:val="center"/>
            <w:rPr>
              <w:rFonts w:ascii="Vijaya" w:hAnsi="Vijaya" w:cs="Vijaya"/>
              <w:sz w:val="16"/>
              <w:szCs w:val="16"/>
              <w:lang w:val="en-US" w:eastAsia="en-US"/>
            </w:rPr>
          </w:pPr>
        </w:p>
      </w:tc>
      <w:tc>
        <w:tcPr>
          <w:tcW w:w="3240" w:type="dxa"/>
        </w:tcPr>
        <w:p w:rsidR="00E16918" w:rsidRPr="00E063A4" w:rsidRDefault="00E16918" w:rsidP="00E16918">
          <w:pPr>
            <w:jc w:val="center"/>
            <w:rPr>
              <w:rFonts w:ascii="Calibri" w:hAnsi="Calibri"/>
              <w:b/>
              <w:bCs/>
              <w:sz w:val="16"/>
              <w:szCs w:val="16"/>
              <w:lang w:val="es-BO" w:eastAsia="en-US"/>
            </w:rPr>
          </w:pPr>
        </w:p>
      </w:tc>
      <w:tc>
        <w:tcPr>
          <w:tcW w:w="3240" w:type="dxa"/>
        </w:tcPr>
        <w:p w:rsidR="00E16918" w:rsidRPr="00566C05" w:rsidRDefault="00E16918" w:rsidP="00E16918">
          <w:pPr>
            <w:pStyle w:val="Piedepgina"/>
            <w:jc w:val="center"/>
            <w:rPr>
              <w:rFonts w:ascii="Calibri" w:hAnsi="Calibri"/>
              <w:b/>
              <w:bCs/>
              <w:sz w:val="16"/>
              <w:szCs w:val="16"/>
              <w:lang w:val="en-US" w:eastAsia="en-US"/>
            </w:rPr>
          </w:pPr>
        </w:p>
      </w:tc>
    </w:tr>
  </w:tbl>
  <w:p w:rsidR="00F700A2" w:rsidRDefault="00F700A2">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3D" w:rsidRDefault="00724A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167" w:rsidRDefault="00AE5167" w:rsidP="00E92156">
      <w:r>
        <w:separator/>
      </w:r>
    </w:p>
  </w:footnote>
  <w:footnote w:type="continuationSeparator" w:id="0">
    <w:p w:rsidR="00AE5167" w:rsidRDefault="00AE5167"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3D" w:rsidRDefault="00724A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68692F" w:rsidRPr="00ED359F">
            <w:rPr>
              <w:rFonts w:asciiTheme="minorHAnsi" w:hAnsiTheme="minorHAnsi"/>
              <w:sz w:val="18"/>
              <w:szCs w:val="18"/>
            </w:rPr>
            <w:t>OBRAS CIVILES Y MECÁNICAS CONSTRUCCIÓN DE RED PRIMARIA, MONTAJE E INSTALACIÓN DE EDR KORIHUMA MUNICIPIO</w:t>
          </w:r>
          <w:r w:rsidR="00D575DC" w:rsidRPr="00ED359F">
            <w:rPr>
              <w:rFonts w:asciiTheme="minorHAnsi" w:hAnsiTheme="minorHAnsi"/>
              <w:sz w:val="18"/>
              <w:szCs w:val="18"/>
            </w:rPr>
            <w:t xml:space="preserve"> SACABA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24A3D">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24A3D">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A3D" w:rsidRDefault="00724A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470"/>
    <w:rsid w:val="000238A7"/>
    <w:rsid w:val="000A4EB4"/>
    <w:rsid w:val="001329AB"/>
    <w:rsid w:val="001374ED"/>
    <w:rsid w:val="00152360"/>
    <w:rsid w:val="00164342"/>
    <w:rsid w:val="00181446"/>
    <w:rsid w:val="001A43A1"/>
    <w:rsid w:val="001A64B5"/>
    <w:rsid w:val="001C6786"/>
    <w:rsid w:val="0020022A"/>
    <w:rsid w:val="002050FC"/>
    <w:rsid w:val="002260FA"/>
    <w:rsid w:val="0026374C"/>
    <w:rsid w:val="00333C5E"/>
    <w:rsid w:val="00347FBA"/>
    <w:rsid w:val="00350C17"/>
    <w:rsid w:val="003A2567"/>
    <w:rsid w:val="003A3088"/>
    <w:rsid w:val="003C6E4C"/>
    <w:rsid w:val="003D6001"/>
    <w:rsid w:val="004D4D35"/>
    <w:rsid w:val="00592C8E"/>
    <w:rsid w:val="005E1666"/>
    <w:rsid w:val="005F621C"/>
    <w:rsid w:val="00624F1E"/>
    <w:rsid w:val="006371AA"/>
    <w:rsid w:val="0064672E"/>
    <w:rsid w:val="0065244E"/>
    <w:rsid w:val="006704A4"/>
    <w:rsid w:val="0068692F"/>
    <w:rsid w:val="006F280D"/>
    <w:rsid w:val="00724A3D"/>
    <w:rsid w:val="0074275E"/>
    <w:rsid w:val="00795CB8"/>
    <w:rsid w:val="007A7AA0"/>
    <w:rsid w:val="007C38E7"/>
    <w:rsid w:val="008425DD"/>
    <w:rsid w:val="008970A5"/>
    <w:rsid w:val="008E3F90"/>
    <w:rsid w:val="00931E47"/>
    <w:rsid w:val="00A67E35"/>
    <w:rsid w:val="00AE247F"/>
    <w:rsid w:val="00AE2BD3"/>
    <w:rsid w:val="00AE5167"/>
    <w:rsid w:val="00B2486F"/>
    <w:rsid w:val="00B3406B"/>
    <w:rsid w:val="00B514F2"/>
    <w:rsid w:val="00B622FE"/>
    <w:rsid w:val="00B9515A"/>
    <w:rsid w:val="00BC050D"/>
    <w:rsid w:val="00C65404"/>
    <w:rsid w:val="00C8287B"/>
    <w:rsid w:val="00C84243"/>
    <w:rsid w:val="00D00A8C"/>
    <w:rsid w:val="00D14AE7"/>
    <w:rsid w:val="00D24C3F"/>
    <w:rsid w:val="00D34D64"/>
    <w:rsid w:val="00D40887"/>
    <w:rsid w:val="00D5156C"/>
    <w:rsid w:val="00D575DC"/>
    <w:rsid w:val="00D6134F"/>
    <w:rsid w:val="00E16918"/>
    <w:rsid w:val="00E806D0"/>
    <w:rsid w:val="00E92156"/>
    <w:rsid w:val="00E94D22"/>
    <w:rsid w:val="00ED359F"/>
    <w:rsid w:val="00ED45EA"/>
    <w:rsid w:val="00ED7806"/>
    <w:rsid w:val="00EE5520"/>
    <w:rsid w:val="00F37C49"/>
    <w:rsid w:val="00F54AB6"/>
    <w:rsid w:val="00F61F8E"/>
    <w:rsid w:val="00F700A2"/>
    <w:rsid w:val="00FD5561"/>
    <w:rsid w:val="00FF0C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7536D-CDD5-4C59-9A52-B7AD72D3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4616</Words>
  <Characters>25390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Rafel  Fermin Paredes</cp:lastModifiedBy>
  <cp:revision>2</cp:revision>
  <cp:lastPrinted>2018-05-23T14:58:00Z</cp:lastPrinted>
  <dcterms:created xsi:type="dcterms:W3CDTF">2018-06-28T20:13:00Z</dcterms:created>
  <dcterms:modified xsi:type="dcterms:W3CDTF">2018-06-28T20:13:00Z</dcterms:modified>
</cp:coreProperties>
</file>