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DF32F7" w:rsidRPr="00203B7A" w:rsidTr="001C7B54">
        <w:trPr>
          <w:trHeight w:val="60"/>
          <w:jc w:val="center"/>
        </w:trPr>
        <w:tc>
          <w:tcPr>
            <w:tcW w:w="0" w:type="auto"/>
            <w:shd w:val="clear" w:color="auto" w:fill="B4C6E7"/>
            <w:vAlign w:val="center"/>
          </w:tcPr>
          <w:p w:rsidR="00DF32F7" w:rsidRPr="00203B7A" w:rsidRDefault="00DF32F7" w:rsidP="001C7B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ANEXO </w:t>
            </w:r>
            <w:r w:rsidR="001C184D">
              <w:rPr>
                <w:rFonts w:ascii="Verdana" w:hAnsi="Verdana" w:cs="Calibri"/>
                <w:b/>
                <w:sz w:val="18"/>
                <w:szCs w:val="18"/>
              </w:rPr>
              <w:t>3</w:t>
            </w: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 - GARANTÍAS FINANCIERAS</w:t>
            </w:r>
          </w:p>
        </w:tc>
      </w:tr>
      <w:tr w:rsidR="00DF32F7" w:rsidRPr="00203B7A" w:rsidTr="004A5377">
        <w:trPr>
          <w:trHeight w:val="604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2F7" w:rsidRPr="00203B7A" w:rsidRDefault="00DF32F7" w:rsidP="00275854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DF32F7" w:rsidRPr="001C7B54" w:rsidRDefault="00DF32F7" w:rsidP="001C7B54">
            <w:pPr>
              <w:spacing w:after="8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03B7A">
              <w:rPr>
                <w:rFonts w:ascii="Verdana" w:hAnsi="Verdana"/>
                <w:b/>
                <w:sz w:val="18"/>
                <w:szCs w:val="18"/>
              </w:rPr>
              <w:t>GARANTIA DE SERIEDAD DE PROPUESTA:</w:t>
            </w:r>
          </w:p>
          <w:p w:rsidR="00DF32F7" w:rsidRDefault="00DF32F7" w:rsidP="0027585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03B7A">
              <w:rPr>
                <w:rFonts w:ascii="Verdana" w:hAnsi="Verdana"/>
                <w:sz w:val="18"/>
                <w:szCs w:val="18"/>
              </w:rPr>
              <w:t>El proponente podrá elegir las siguientes opciones:</w:t>
            </w:r>
          </w:p>
          <w:p w:rsidR="00921C9E" w:rsidRPr="00203B7A" w:rsidRDefault="00921C9E" w:rsidP="0027585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F32F7" w:rsidRPr="00215B0D" w:rsidRDefault="00DF32F7" w:rsidP="00215B0D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</w:pP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Boleta de Garantía, emitida por una Entidad Bancaria del Estado Plurinacional de Bolivia, registrada, autorizada y bajo el control de la Autoridad de Supervisión del Sistema Financiero-ASFI,</w:t>
            </w:r>
            <w:r w:rsidR="00215B0D"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 a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la orden/a favor de Yacimientos Petrolíferos Fiscales Bolivianos, con las características expresas de renovable, irrevocable y de</w:t>
            </w:r>
            <w:r w:rsidR="00215B0D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ejecu</w:t>
            </w:r>
            <w:r w:rsidR="006D65FD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ción inmediata con vigencia de 12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0</w:t>
            </w:r>
            <w:r w:rsidR="00215B0D"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 días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por un importe equiv</w:t>
            </w:r>
            <w:r w:rsidR="00D42ADC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alente al 1% del </w:t>
            </w:r>
            <w:r w:rsidR="00921C9E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valor total </w:t>
            </w:r>
            <w:r w:rsidR="001D2893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de la propuesta económica</w:t>
            </w:r>
            <w:r w:rsidR="00D42ADC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.</w:t>
            </w:r>
          </w:p>
          <w:p w:rsidR="00DF32F7" w:rsidRPr="00203B7A" w:rsidRDefault="00DF32F7" w:rsidP="00DF32F7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</w:pP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Garantía a Primer Requerimiento, emitida por una Entidad Bancaria del Estado Plurinacional de Bolivia, registrada, autorizada y bajo el control de la Autoridad de Supervisión del Sistema Financiero-ASFI,</w:t>
            </w:r>
            <w:r w:rsidR="00215B0D"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 a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la orden/a favor de Yacimientos Petrolíferos Fiscales Bolivianos, con las características expresas de renovable, irrevocable y de ejecución a primer </w:t>
            </w:r>
            <w:r w:rsidR="00E877CD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requerimiento con vigencia de 120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días</w:t>
            </w:r>
            <w:r w:rsidR="00331839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calendario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, por un importe equ</w:t>
            </w:r>
            <w:r w:rsidR="00D97B74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ivalente al 1% del </w:t>
            </w:r>
            <w:r w:rsidR="00215B0D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valor total</w:t>
            </w:r>
            <w:r w:rsidR="001D2893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de la propuesta económica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.</w:t>
            </w:r>
          </w:p>
          <w:p w:rsidR="00DF32F7" w:rsidRPr="00203B7A" w:rsidRDefault="00DF32F7" w:rsidP="00DF32F7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</w:pP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Póliza de caución a Primer requerimiento para Entidades Públicas,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</w:t>
            </w:r>
            <w:r w:rsidR="00E877CD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requerimiento con vigencia de 120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días</w:t>
            </w:r>
            <w:r w:rsidR="00331839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calendario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a contar de la fecha prevista para la presentación de propuestas y por un importe equival</w:t>
            </w:r>
            <w:r w:rsidR="00D97B74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ente de al menos a 1 % </w:t>
            </w:r>
            <w:r w:rsidR="00215B0D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del valor total</w:t>
            </w:r>
            <w:r w:rsidR="001D2893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de la propuesta económica</w:t>
            </w:r>
            <w:r w:rsidR="00D97B74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.</w:t>
            </w:r>
          </w:p>
          <w:p w:rsidR="00DF32F7" w:rsidRPr="00203B7A" w:rsidRDefault="00DF32F7" w:rsidP="00275854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DF32F7" w:rsidRDefault="00DF32F7" w:rsidP="001C7B54">
            <w:pPr>
              <w:spacing w:after="80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>GARANTIA DE CUMPLIMIENTO DE CONTRATO:</w:t>
            </w:r>
          </w:p>
          <w:p w:rsidR="00DF32F7" w:rsidRPr="00203B7A" w:rsidRDefault="00DF32F7" w:rsidP="00275854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>El adjudicado podrá elegir las siguientes opciones:</w:t>
            </w:r>
          </w:p>
          <w:p w:rsidR="00DF32F7" w:rsidRPr="00203B7A" w:rsidRDefault="00DF32F7" w:rsidP="00DF32F7">
            <w:pPr>
              <w:numPr>
                <w:ilvl w:val="0"/>
                <w:numId w:val="1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>Boleta de Garantía,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inmediata con vigencia de 60 días calendario adicionales a la vigencia del contrato, por un importe equivalente al</w:t>
            </w:r>
            <w:r w:rsidR="00D97B74">
              <w:rPr>
                <w:rFonts w:ascii="Verdana" w:hAnsi="Verdana" w:cs="Calibri"/>
                <w:sz w:val="18"/>
                <w:szCs w:val="18"/>
              </w:rPr>
              <w:t xml:space="preserve"> 7% del </w:t>
            </w:r>
            <w:r w:rsidR="001D2893">
              <w:rPr>
                <w:rFonts w:ascii="Verdana" w:hAnsi="Verdana" w:cs="Calibri"/>
                <w:sz w:val="18"/>
                <w:szCs w:val="18"/>
              </w:rPr>
              <w:t>valor total del contrato</w:t>
            </w:r>
            <w:r w:rsidRPr="00203B7A">
              <w:rPr>
                <w:rFonts w:ascii="Verdana" w:hAnsi="Verdana" w:cs="Calibri"/>
                <w:sz w:val="18"/>
                <w:szCs w:val="18"/>
              </w:rPr>
              <w:t>, debiendo ser renovada las veces que YPFB así lo requiera.</w:t>
            </w:r>
          </w:p>
          <w:p w:rsidR="00DF32F7" w:rsidRPr="00203B7A" w:rsidRDefault="00DF32F7" w:rsidP="00DF32F7">
            <w:pPr>
              <w:numPr>
                <w:ilvl w:val="0"/>
                <w:numId w:val="1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 xml:space="preserve">Garantía a Primer Requerimiento,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a primer requerimiento con vigencia de 60 días calendario adicionales a la vigencia del contrato, por un importe equivalente </w:t>
            </w:r>
            <w:r w:rsidR="00D97B74">
              <w:rPr>
                <w:rFonts w:ascii="Verdana" w:hAnsi="Verdana" w:cs="Calibri"/>
                <w:sz w:val="18"/>
                <w:szCs w:val="18"/>
              </w:rPr>
              <w:t xml:space="preserve">al 7% del </w:t>
            </w:r>
            <w:r w:rsidR="001D2893">
              <w:rPr>
                <w:rFonts w:ascii="Verdana" w:hAnsi="Verdana" w:cs="Calibri"/>
                <w:sz w:val="18"/>
                <w:szCs w:val="18"/>
              </w:rPr>
              <w:t>valor total del contrato</w:t>
            </w:r>
            <w:r w:rsidRPr="00624F22">
              <w:rPr>
                <w:rFonts w:ascii="Verdana" w:hAnsi="Verdana" w:cs="Calibri"/>
                <w:sz w:val="18"/>
                <w:szCs w:val="18"/>
              </w:rPr>
              <w:t>,</w:t>
            </w:r>
            <w:r w:rsidRPr="00203B7A">
              <w:rPr>
                <w:rFonts w:ascii="Verdana" w:hAnsi="Verdana" w:cs="Calibri"/>
                <w:sz w:val="18"/>
                <w:szCs w:val="18"/>
              </w:rPr>
              <w:t xml:space="preserve"> debiendo ser renovada las veces que YPFB así lo requiera.</w:t>
            </w:r>
          </w:p>
          <w:p w:rsidR="004A5377" w:rsidRDefault="00DF32F7" w:rsidP="004A5377">
            <w:pPr>
              <w:numPr>
                <w:ilvl w:val="0"/>
                <w:numId w:val="1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>Póliza de caución a Primer requerimiento para Entidades Públicas,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60 días calendario adicionales a la vigencia del contrato, por un importe equivalente al</w:t>
            </w:r>
            <w:r w:rsidR="00D97B74">
              <w:rPr>
                <w:rFonts w:ascii="Verdana" w:hAnsi="Verdana" w:cs="Calibri"/>
                <w:sz w:val="18"/>
                <w:szCs w:val="18"/>
              </w:rPr>
              <w:t xml:space="preserve"> 7% del </w:t>
            </w:r>
            <w:r w:rsidR="001D2893">
              <w:rPr>
                <w:rFonts w:ascii="Verdana" w:hAnsi="Verdana" w:cs="Calibri"/>
                <w:sz w:val="18"/>
                <w:szCs w:val="18"/>
              </w:rPr>
              <w:t>valor total del contrato</w:t>
            </w:r>
            <w:r w:rsidRPr="00624F22">
              <w:rPr>
                <w:rFonts w:ascii="Verdana" w:hAnsi="Verdana" w:cs="Calibri"/>
                <w:sz w:val="18"/>
                <w:szCs w:val="18"/>
              </w:rPr>
              <w:t>,</w:t>
            </w:r>
            <w:r w:rsidRPr="00203B7A">
              <w:rPr>
                <w:rFonts w:ascii="Verdana" w:hAnsi="Verdana" w:cs="Calibri"/>
                <w:sz w:val="18"/>
                <w:szCs w:val="18"/>
              </w:rPr>
              <w:t xml:space="preserve"> debiendo ser renovada las veces que YPFB así lo requiera.</w:t>
            </w:r>
          </w:p>
          <w:p w:rsidR="00DF32F7" w:rsidRPr="006A2849" w:rsidRDefault="006A2849" w:rsidP="006A2849">
            <w:pPr>
              <w:numPr>
                <w:ilvl w:val="0"/>
                <w:numId w:val="1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6A2849">
              <w:rPr>
                <w:rFonts w:ascii="Verdana" w:hAnsi="Verdana" w:cs="Calibri"/>
                <w:bCs/>
                <w:sz w:val="18"/>
                <w:szCs w:val="18"/>
              </w:rPr>
              <w:t xml:space="preserve">Retenciones, </w:t>
            </w:r>
            <w:r w:rsidRPr="006A2849">
              <w:rPr>
                <w:rFonts w:ascii="Verdana" w:hAnsi="Verdana" w:cs="Calibri"/>
                <w:sz w:val="18"/>
                <w:szCs w:val="18"/>
              </w:rPr>
              <w:t>el proponente podrá solicitar expresamente a Yacimientos Petrolíferos Fiscales Bolivianos, la retención del 7% de cada pago parcial recibido</w:t>
            </w:r>
          </w:p>
        </w:tc>
      </w:tr>
    </w:tbl>
    <w:p w:rsidR="006126E0" w:rsidRDefault="006126E0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0296" w:rsidRDefault="00560296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0296" w:rsidRDefault="00560296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0296" w:rsidRDefault="00560296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0296" w:rsidRDefault="00560296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0296" w:rsidRDefault="00560296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D97B74" w:rsidRPr="00767FD8" w:rsidRDefault="00D97B74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7FD8">
        <w:rPr>
          <w:rFonts w:ascii="Arial" w:hAnsi="Arial" w:cs="Arial"/>
          <w:b/>
          <w:bCs/>
          <w:sz w:val="20"/>
          <w:szCs w:val="20"/>
        </w:rPr>
        <w:t>INSTRUCCIONES PARA LA EMISION DE INSTRUMENTOS FINANCIEROS</w:t>
      </w:r>
    </w:p>
    <w:p w:rsidR="00D97B74" w:rsidRPr="00767FD8" w:rsidRDefault="00D97B74" w:rsidP="00D97B74">
      <w:pPr>
        <w:jc w:val="both"/>
        <w:rPr>
          <w:rFonts w:ascii="Arial" w:hAnsi="Arial" w:cs="Arial"/>
          <w:sz w:val="20"/>
          <w:szCs w:val="20"/>
        </w:rPr>
      </w:pPr>
      <w:r w:rsidRPr="00767FD8">
        <w:rPr>
          <w:rFonts w:ascii="Arial" w:hAnsi="Arial" w:cs="Arial"/>
          <w:sz w:val="20"/>
          <w:szCs w:val="20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767FD8">
        <w:rPr>
          <w:rFonts w:ascii="Arial" w:hAnsi="Arial" w:cs="Arial"/>
          <w:sz w:val="20"/>
          <w:szCs w:val="20"/>
          <w:u w:val="single"/>
        </w:rPr>
        <w:t>cumpliendo obligatoriamente</w:t>
      </w:r>
      <w:r w:rsidRPr="00767FD8">
        <w:rPr>
          <w:rFonts w:ascii="Arial" w:hAnsi="Arial" w:cs="Arial"/>
          <w:sz w:val="20"/>
          <w:szCs w:val="20"/>
        </w:rPr>
        <w:t xml:space="preserve"> con las siguientes condiciones: </w:t>
      </w:r>
    </w:p>
    <w:tbl>
      <w:tblPr>
        <w:tblW w:w="90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197"/>
      </w:tblGrid>
      <w:tr w:rsidR="00D97B74" w:rsidRPr="00767FD8" w:rsidTr="00164277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6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INSTRUCCIÓN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INSTRUMENTO DE GARANTIA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Style w:val="nfasis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Se aceptará </w:t>
            </w:r>
            <w:r w:rsidRPr="00767FD8">
              <w:rPr>
                <w:rFonts w:ascii="Arial" w:hAnsi="Arial" w:cs="Arial"/>
                <w:sz w:val="20"/>
                <w:szCs w:val="20"/>
                <w:u w:val="single"/>
              </w:rPr>
              <w:t>únicamente</w:t>
            </w:r>
            <w:r w:rsidRPr="00767FD8">
              <w:rPr>
                <w:rFonts w:ascii="Arial" w:hAnsi="Arial" w:cs="Arial"/>
                <w:sz w:val="20"/>
                <w:szCs w:val="20"/>
              </w:rPr>
              <w:t xml:space="preserve"> los instrumentos detallados en el presente anexo.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OBJETO DE LA GARANTÍA</w:t>
            </w:r>
          </w:p>
          <w:p w:rsidR="00D97B74" w:rsidRPr="00767FD8" w:rsidRDefault="00D97B74" w:rsidP="00164277">
            <w:pPr>
              <w:pStyle w:val="Prrafodelista"/>
              <w:ind w:left="0"/>
              <w:rPr>
                <w:rFonts w:ascii="Arial" w:hAnsi="Arial"/>
                <w:i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 xml:space="preserve"> (“Para Garantizar:”)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Debe consignar correctamente y de manera explícita, textual y completa: </w:t>
            </w:r>
          </w:p>
          <w:p w:rsidR="00D97B74" w:rsidRPr="00767FD8" w:rsidRDefault="00D97B74" w:rsidP="00D97B7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Objeto a garantizar conforme lo requerido en el presente anexo.</w:t>
            </w:r>
          </w:p>
          <w:p w:rsidR="00D97B74" w:rsidRPr="00767FD8" w:rsidRDefault="00D97B74" w:rsidP="00D97B7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Nombre del proceso de contratación, conforme al registrado en la carátula del DBC.</w:t>
            </w:r>
          </w:p>
          <w:p w:rsidR="00D97B74" w:rsidRPr="00767FD8" w:rsidRDefault="00D97B74" w:rsidP="00D97B7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Código del Proceso de contratación: conforme al registrado en la carátula del DBC.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 xml:space="preserve">NOMBRE, RAZÓN SOCIAL O DENOMINACIÓN DEL ORDENANTE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Debe consignar el nombre plenamente concordante con el registrado en los siguientes documentos en orden de prelación, según corresponda al documento requerido en el DBC: </w:t>
            </w:r>
          </w:p>
          <w:p w:rsidR="00D97B74" w:rsidRPr="00767FD8" w:rsidRDefault="00D97B74" w:rsidP="00D97B74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Matrícula de Comercio FUNDEMPRESA, priori (o equivalente en el país de origen); o</w:t>
            </w:r>
          </w:p>
          <w:p w:rsidR="00D97B74" w:rsidRPr="00767FD8" w:rsidRDefault="00D97B74" w:rsidP="00D97B74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Número de Identificación Tributaria – NIT (o equivalente en el país de origen); o</w:t>
            </w:r>
          </w:p>
          <w:p w:rsidR="00D97B74" w:rsidRPr="00767FD8" w:rsidRDefault="00D97B74" w:rsidP="00D97B74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Documento de Acta de Constitución. 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NOMBRE DEL BENEFICIARIO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Debe consignar: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YACIMIENTOS PETROLIFEROS FISCALES BOLIVIANOS;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767FD8">
              <w:rPr>
                <w:rFonts w:ascii="Arial" w:hAnsi="Arial"/>
                <w:i/>
                <w:sz w:val="20"/>
                <w:szCs w:val="20"/>
              </w:rPr>
              <w:t>YPFB;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767FD8">
              <w:rPr>
                <w:rFonts w:ascii="Arial" w:hAnsi="Arial"/>
                <w:i/>
                <w:sz w:val="20"/>
                <w:szCs w:val="20"/>
              </w:rPr>
              <w:t>o ambos.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MONTO GARANTIZADO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Debe consignar el valor/importe/monto correctamente calculado, conforme el presente anexo y la “Garantía según el objeto” requerida, considerando el inc c) de los Aspectos Subsanables del DBC.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VIGENCIA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Debe consignar una vigencia igual o mayor al requerido en el presente Anexo, </w:t>
            </w:r>
          </w:p>
          <w:p w:rsidR="00D97B74" w:rsidRPr="00767FD8" w:rsidRDefault="00D97B74" w:rsidP="00D97B74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  <w:u w:val="single"/>
              </w:rPr>
              <w:t>Para Garantía de Seriedad de Propuesta:</w:t>
            </w:r>
            <w:r w:rsidRPr="00767FD8">
              <w:rPr>
                <w:rFonts w:ascii="Arial" w:hAnsi="Arial" w:cs="Arial"/>
                <w:sz w:val="20"/>
                <w:szCs w:val="20"/>
              </w:rPr>
              <w:t xml:space="preserve"> (120 días) computable a partir de la “Fecha de presentación de propuesta”, establecido en el Cronograma de Plazos del DBC.</w:t>
            </w:r>
          </w:p>
          <w:p w:rsidR="00D97B74" w:rsidRPr="00767FD8" w:rsidRDefault="00D97B74" w:rsidP="00D97B74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  <w:u w:val="single"/>
              </w:rPr>
              <w:t>Otras garantías:</w:t>
            </w:r>
            <w:r w:rsidRPr="00767FD8">
              <w:rPr>
                <w:rFonts w:ascii="Arial" w:hAnsi="Arial" w:cs="Arial"/>
                <w:sz w:val="20"/>
                <w:szCs w:val="20"/>
              </w:rPr>
              <w:t xml:space="preserve"> conforme lo requerido en el presente anexo.</w:t>
            </w:r>
          </w:p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El proponente o adjudicado, debe considerar la suficiente holgura, en previsión a posibles contingencias o desfases a presentarse en las fechas de suscripción de contratos o emisión de las órdenes o instrucciones de proceder, acta de cierre de contrato, así como de los días adicionales requeridos.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 xml:space="preserve">CLÁUSULAS O CONDICIONES 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Debe incluir las cláusulas de: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Para Boletas de Garantía: RENOVABLE, IRREVOCABLE y </w:t>
            </w:r>
            <w:r w:rsidRPr="00767FD8">
              <w:rPr>
                <w:rFonts w:ascii="Arial" w:hAnsi="Arial" w:cs="Arial"/>
                <w:b/>
                <w:sz w:val="20"/>
                <w:szCs w:val="20"/>
                <w:u w:val="single"/>
              </w:rPr>
              <w:t>explícitamente</w:t>
            </w:r>
            <w:r w:rsidRPr="00767F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7FD8">
              <w:rPr>
                <w:rFonts w:ascii="Arial" w:hAnsi="Arial" w:cs="Arial"/>
                <w:sz w:val="20"/>
                <w:szCs w:val="20"/>
              </w:rPr>
              <w:t>DE EJECUCIÓN INMEDIATA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Para Garantías a Primer Requerimiento: RENOVABLE, IRREVOCABLE y </w:t>
            </w:r>
            <w:r w:rsidRPr="00767FD8">
              <w:rPr>
                <w:rFonts w:ascii="Arial" w:hAnsi="Arial" w:cs="Arial"/>
                <w:b/>
                <w:sz w:val="20"/>
                <w:szCs w:val="20"/>
                <w:u w:val="single"/>
              </w:rPr>
              <w:t>explícitamente</w:t>
            </w:r>
            <w:r w:rsidRPr="00767F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7FD8">
              <w:rPr>
                <w:rFonts w:ascii="Arial" w:hAnsi="Arial" w:cs="Arial"/>
                <w:sz w:val="20"/>
                <w:szCs w:val="20"/>
              </w:rPr>
              <w:t>de EJECUCIÓN A PRIMER REQUERIMIENTO</w:t>
            </w:r>
          </w:p>
        </w:tc>
      </w:tr>
    </w:tbl>
    <w:p w:rsidR="004A5377" w:rsidRDefault="00D97B74" w:rsidP="00E877CD">
      <w:r w:rsidRPr="00767FD8">
        <w:rPr>
          <w:b/>
          <w:sz w:val="20"/>
          <w:szCs w:val="20"/>
        </w:rPr>
        <w:t xml:space="preserve">NOTA: EL INCUMPLIMIENTO DE LOS PARAMETROS ESTABLECIDOS PRECEDENTEMENTE,  </w:t>
      </w:r>
      <w:r w:rsidRPr="00767FD8">
        <w:rPr>
          <w:b/>
          <w:sz w:val="20"/>
          <w:szCs w:val="20"/>
          <w:u w:val="single"/>
        </w:rPr>
        <w:t>NO DARÁ LUGAR A SUBSANACION ALGUNA</w:t>
      </w:r>
    </w:p>
    <w:sectPr w:rsidR="004A5377" w:rsidSect="00DF32F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3F" w:rsidRDefault="00B4773F" w:rsidP="00124522">
      <w:r>
        <w:separator/>
      </w:r>
    </w:p>
  </w:endnote>
  <w:endnote w:type="continuationSeparator" w:id="0">
    <w:p w:rsidR="00B4773F" w:rsidRDefault="00B4773F" w:rsidP="0012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3F" w:rsidRDefault="00B4773F" w:rsidP="00124522">
      <w:r>
        <w:separator/>
      </w:r>
    </w:p>
  </w:footnote>
  <w:footnote w:type="continuationSeparator" w:id="0">
    <w:p w:rsidR="00B4773F" w:rsidRDefault="00B4773F" w:rsidP="00124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439E"/>
    <w:multiLevelType w:val="hybridMultilevel"/>
    <w:tmpl w:val="A9D26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E12"/>
    <w:multiLevelType w:val="hybridMultilevel"/>
    <w:tmpl w:val="D6D085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1326"/>
    <w:multiLevelType w:val="hybridMultilevel"/>
    <w:tmpl w:val="18643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6D5E7E"/>
    <w:multiLevelType w:val="hybridMultilevel"/>
    <w:tmpl w:val="38961A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6D0B0D"/>
    <w:multiLevelType w:val="hybridMultilevel"/>
    <w:tmpl w:val="49C223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11917"/>
    <w:multiLevelType w:val="hybridMultilevel"/>
    <w:tmpl w:val="89F28068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B178DF"/>
    <w:multiLevelType w:val="hybridMultilevel"/>
    <w:tmpl w:val="CC9647B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E00D6"/>
    <w:multiLevelType w:val="hybridMultilevel"/>
    <w:tmpl w:val="734219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831E2"/>
    <w:multiLevelType w:val="hybridMultilevel"/>
    <w:tmpl w:val="CA325F5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6"/>
  </w:num>
  <w:num w:numId="5">
    <w:abstractNumId w:val="17"/>
  </w:num>
  <w:num w:numId="6">
    <w:abstractNumId w:val="2"/>
  </w:num>
  <w:num w:numId="7">
    <w:abstractNumId w:val="1"/>
  </w:num>
  <w:num w:numId="8">
    <w:abstractNumId w:val="8"/>
  </w:num>
  <w:num w:numId="9">
    <w:abstractNumId w:val="20"/>
  </w:num>
  <w:num w:numId="10">
    <w:abstractNumId w:val="11"/>
  </w:num>
  <w:num w:numId="11">
    <w:abstractNumId w:val="12"/>
  </w:num>
  <w:num w:numId="12">
    <w:abstractNumId w:val="15"/>
  </w:num>
  <w:num w:numId="13">
    <w:abstractNumId w:val="4"/>
  </w:num>
  <w:num w:numId="14">
    <w:abstractNumId w:val="9"/>
  </w:num>
  <w:num w:numId="15">
    <w:abstractNumId w:val="18"/>
  </w:num>
  <w:num w:numId="16">
    <w:abstractNumId w:val="5"/>
  </w:num>
  <w:num w:numId="17">
    <w:abstractNumId w:val="10"/>
  </w:num>
  <w:num w:numId="18">
    <w:abstractNumId w:val="14"/>
  </w:num>
  <w:num w:numId="19">
    <w:abstractNumId w:val="13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F7"/>
    <w:rsid w:val="00032BA5"/>
    <w:rsid w:val="00055D64"/>
    <w:rsid w:val="000A7009"/>
    <w:rsid w:val="00124522"/>
    <w:rsid w:val="001C184D"/>
    <w:rsid w:val="001C7B54"/>
    <w:rsid w:val="001D2893"/>
    <w:rsid w:val="00215B0D"/>
    <w:rsid w:val="00267DD9"/>
    <w:rsid w:val="00331839"/>
    <w:rsid w:val="00334D78"/>
    <w:rsid w:val="00427B19"/>
    <w:rsid w:val="004A5377"/>
    <w:rsid w:val="00510628"/>
    <w:rsid w:val="00560296"/>
    <w:rsid w:val="005E366C"/>
    <w:rsid w:val="006126E0"/>
    <w:rsid w:val="00624F22"/>
    <w:rsid w:val="006A2849"/>
    <w:rsid w:val="006D65FD"/>
    <w:rsid w:val="006D68A6"/>
    <w:rsid w:val="00825009"/>
    <w:rsid w:val="00921C9E"/>
    <w:rsid w:val="00953F98"/>
    <w:rsid w:val="00B4773F"/>
    <w:rsid w:val="00B51347"/>
    <w:rsid w:val="00C31759"/>
    <w:rsid w:val="00C9114D"/>
    <w:rsid w:val="00CD1F9C"/>
    <w:rsid w:val="00D42ADC"/>
    <w:rsid w:val="00D97B74"/>
    <w:rsid w:val="00DF32F7"/>
    <w:rsid w:val="00E07B2F"/>
    <w:rsid w:val="00E6263C"/>
    <w:rsid w:val="00E83B1F"/>
    <w:rsid w:val="00E8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64B4B15-F079-44DB-9663-036179BA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DF32F7"/>
    <w:pPr>
      <w:ind w:left="708"/>
    </w:p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1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14D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ApendiceA2">
    <w:name w:val="Apendice A2"/>
    <w:basedOn w:val="Normal"/>
    <w:link w:val="ApendiceA2Car"/>
    <w:rsid w:val="00C9114D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C9114D"/>
    <w:rPr>
      <w:rFonts w:ascii="Arial" w:eastAsia="Times New Roman" w:hAnsi="Arial" w:cs="Times New Roman"/>
      <w:lang w:eastAsia="es-ES"/>
    </w:rPr>
  </w:style>
  <w:style w:type="paragraph" w:styleId="Encabezado">
    <w:name w:val="header"/>
    <w:basedOn w:val="Normal"/>
    <w:link w:val="EncabezadoCar"/>
    <w:uiPriority w:val="99"/>
    <w:rsid w:val="00C91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14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D97B74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1245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52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2356-C1A6-4830-B266-0DE8920C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Vladimir Amador Castro</dc:creator>
  <cp:lastModifiedBy>Corina Jacqueline Flores Ferrufino</cp:lastModifiedBy>
  <cp:revision>9</cp:revision>
  <cp:lastPrinted>2018-07-16T20:55:00Z</cp:lastPrinted>
  <dcterms:created xsi:type="dcterms:W3CDTF">2017-10-18T20:36:00Z</dcterms:created>
  <dcterms:modified xsi:type="dcterms:W3CDTF">2018-07-23T16:11:00Z</dcterms:modified>
</cp:coreProperties>
</file>