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D0" w:rsidRPr="00B5715C" w:rsidRDefault="00B763D0" w:rsidP="004D6161">
      <w:pPr>
        <w:contextualSpacing/>
        <w:jc w:val="center"/>
        <w:rPr>
          <w:rFonts w:asciiTheme="minorHAnsi" w:hAnsiTheme="minorHAnsi" w:cs="Vijaya"/>
          <w:b/>
          <w:bCs/>
          <w:color w:val="000000"/>
          <w:sz w:val="22"/>
          <w:szCs w:val="22"/>
          <w:u w:val="single"/>
          <w:lang w:eastAsia="es-BO"/>
        </w:rPr>
      </w:pPr>
      <w:r w:rsidRPr="00B5715C">
        <w:rPr>
          <w:rFonts w:asciiTheme="minorHAnsi" w:hAnsiTheme="minorHAnsi" w:cs="Vijaya"/>
          <w:b/>
          <w:bCs/>
          <w:color w:val="000000"/>
          <w:sz w:val="22"/>
          <w:szCs w:val="22"/>
          <w:u w:val="single"/>
          <w:lang w:eastAsia="es-BO"/>
        </w:rPr>
        <w:t>ELABORACIÓN DE DATA BOOK</w:t>
      </w:r>
    </w:p>
    <w:p w:rsidR="004831C0" w:rsidRPr="00B5715C" w:rsidRDefault="004831C0" w:rsidP="004D6161">
      <w:pPr>
        <w:contextualSpacing/>
        <w:jc w:val="center"/>
        <w:rPr>
          <w:rFonts w:asciiTheme="minorHAnsi" w:hAnsiTheme="minorHAnsi" w:cs="Vijaya"/>
          <w:b/>
          <w:bCs/>
          <w:color w:val="000000"/>
          <w:sz w:val="22"/>
          <w:szCs w:val="22"/>
          <w:u w:val="single"/>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Comprende la elaboración y entrega del Data Book, documento que contiene la información técnica de la obra, registros, planos de la obra y otros que se mencionan en el procedimiento de ejecución.</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plazo para la revisión del Data Book por YPFB será de 5 días hábiles, por lo que la empresa deberá prever con antelación la presentación de este documento, requisito para la entrega definitiva.</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contenido mínimo del documento esta descrito a continuación, debiendo en caso de no haberse realizado la actividad mencionada incluir la separación en la carpeta del proyecto indicando que el punto no corresponde.</w:t>
      </w:r>
    </w:p>
    <w:p w:rsidR="004831C0" w:rsidRDefault="004831C0" w:rsidP="004D6161">
      <w:pPr>
        <w:contextualSpacing/>
        <w:jc w:val="both"/>
        <w:rPr>
          <w:rFonts w:asciiTheme="minorHAnsi" w:hAnsiTheme="minorHAnsi" w:cs="Vijaya"/>
          <w:bCs/>
          <w:color w:val="000000"/>
          <w:sz w:val="22"/>
          <w:szCs w:val="22"/>
          <w:lang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150"/>
      </w:tblGrid>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TOMO I - DOCUMENTACIÓN ADMINISTRATIVA</w:t>
            </w:r>
          </w:p>
        </w:tc>
      </w:tr>
      <w:tr w:rsidR="0001256D" w:rsidRPr="008C258D" w:rsidTr="00F829B8">
        <w:trPr>
          <w:trHeight w:val="284"/>
          <w:jc w:val="center"/>
        </w:trPr>
        <w:tc>
          <w:tcPr>
            <w:tcW w:w="6678"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0"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Registro Vigente de la empresa contratista en la Agencia Nacional de Hidrocarburos en la categoría de Instaladores Industriales o Redes de Gas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Nota de Adjudicación</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y Protocolización de Contrato</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Autorización de municipio para realizar los trabajos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Inicial de Obra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Final de Obra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Especificaciones Técnicas con firmas de elaborado, revisado  y aprobado</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Fiscal</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Carta de Orden de Proceder</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Libro de órdenes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Conformidad del  municipio y otras entidades sobre las obras civiles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Orden de Trabajo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Orden de Cambio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Modificatorio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cumplimiento de contrato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correcta inversión de anticipo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obra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responsabilidad civil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Seguros contra accidentes del personal de obra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comisión de recepción</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Acta de entrega provisional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Acta de entrega definitiva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Planillas parciales de avance y cierre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Informes de fiscal y supervisor por solicitudes de pago parcial y final</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Cartas de notificación de corte a la ANH y usuario industrial afectados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 de interconexión (UDOM)</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Informe/formulario de habilitación de red primaria</w:t>
            </w:r>
          </w:p>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TOMO II - DOCUMENTACIÓN TÉCNICA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PROCEDIMIENTOS DE LA EMPRESA CONTRATISTA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Procedimiento de cada uno de los ítems listados en los volúmenes de obra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 xml:space="preserve">Original </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PERSONAL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Formulario C de la contratista de todo el personal clave presentado en la propuesta adjunto respaldo de la formación requerida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autorización de Cambio de personal clave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ALMACENES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salida de materiales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Registros de inspección de material provisto por YPFB</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 de inspección de accesorios provistos a YPFB</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devolución de materiales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balance final de tubería</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MATERIALES Y EQUIPOS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Especificaciones técnicas de tubería y accesorios utilizados en la obra.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tubería revestida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accesorios accesos mecánicos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calibración y calidad de equipos y materiales de soldadura no mayor a un año </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Certificado de calibración de equipos y herramientas para inspección visual no mayor a 1 año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materiales para revestimiento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pintura de revestimiento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la Grúa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Pr>
                <w:rFonts w:ascii="Calibri" w:hAnsi="Calibri" w:cs="Calibri"/>
                <w:iCs/>
                <w:sz w:val="20"/>
                <w:szCs w:val="20"/>
                <w:lang w:val="es-BO"/>
              </w:rPr>
              <w:t>Fotocopia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CATÁLOGOS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y Manual de válvulas y otros accesorios provistos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de electrodos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0"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SOLDADURA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sz w:val="20"/>
                <w:szCs w:val="20"/>
              </w:rPr>
            </w:pPr>
            <w:r w:rsidRPr="008C258D">
              <w:rPr>
                <w:rFonts w:ascii="Calibri" w:hAnsi="Calibri" w:cs="Calibri"/>
                <w:iCs/>
                <w:sz w:val="20"/>
                <w:szCs w:val="20"/>
                <w:lang w:val="es-BO"/>
              </w:rPr>
              <w:t>Certificado de Inspector de Soldadura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Procedimiento de Soldadura perteneciente a la empresa revisado por un Inspector de Soldadura Nivel II (WPS)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sz w:val="20"/>
                <w:szCs w:val="20"/>
              </w:rPr>
            </w:pPr>
            <w:r w:rsidRPr="008C258D">
              <w:rPr>
                <w:rFonts w:ascii="Calibri" w:hAnsi="Calibri" w:cs="Calibri"/>
                <w:iCs/>
                <w:sz w:val="20"/>
                <w:szCs w:val="20"/>
                <w:lang w:val="es-BO"/>
              </w:rPr>
              <w:t>Calificación del Procedimiento de Soldadura de la empresa (PQR)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sz w:val="20"/>
                <w:szCs w:val="20"/>
              </w:rPr>
            </w:pPr>
            <w:r w:rsidRPr="008C258D">
              <w:rPr>
                <w:rFonts w:ascii="Calibri" w:hAnsi="Calibri" w:cs="Calibri"/>
                <w:iCs/>
                <w:sz w:val="20"/>
                <w:szCs w:val="20"/>
                <w:lang w:val="es-BO"/>
              </w:rPr>
              <w:t>Calificación de soldador para el procedimiento de soldadura (WPQ)</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Registro de inspección visual de soldadura elaborado por el inspector de soldadura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proofErr w:type="spellStart"/>
            <w:r w:rsidRPr="008C258D">
              <w:rPr>
                <w:rFonts w:ascii="Calibri" w:hAnsi="Calibri" w:cs="Calibri"/>
                <w:iCs/>
                <w:sz w:val="20"/>
                <w:szCs w:val="20"/>
                <w:lang w:val="es-BO"/>
              </w:rPr>
              <w:t>Welding</w:t>
            </w:r>
            <w:proofErr w:type="spellEnd"/>
            <w:r w:rsidRPr="008C258D">
              <w:rPr>
                <w:rFonts w:ascii="Calibri" w:hAnsi="Calibri" w:cs="Calibri"/>
                <w:iCs/>
                <w:sz w:val="20"/>
                <w:szCs w:val="20"/>
                <w:lang w:val="es-BO"/>
              </w:rPr>
              <w:t xml:space="preserve"> </w:t>
            </w:r>
            <w:proofErr w:type="spellStart"/>
            <w:r w:rsidRPr="008C258D">
              <w:rPr>
                <w:rFonts w:ascii="Calibri" w:hAnsi="Calibri" w:cs="Calibri"/>
                <w:iCs/>
                <w:sz w:val="20"/>
                <w:szCs w:val="20"/>
                <w:lang w:val="es-BO"/>
              </w:rPr>
              <w:t>Map</w:t>
            </w:r>
            <w:proofErr w:type="spellEnd"/>
          </w:p>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Detallando por cada junta soldada: Diámetro, progresiva, tipo de junta, datos y resultados de inspección visual, soldador por pasadas, código  de procedimiento utilizado, datos y resultados de informe de END y placa, datos de cada tubo antes y después de junta, datos y resultados de revestimiento, coordenadas y otros datos que requiera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PRUEBA HIDROSTÁTICA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Procedimiento, Memoria de cálculo y perfil de presiones de prueba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Procedimiento y registros de pruebas de válvulas.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Carta de notificación de prueba a la ANH</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laboratorio de análisis del agua usada en la prueba (antes y después)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calibración de balanza de peso muerto</w:t>
            </w:r>
          </w:p>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(Emitido por IBMETRO o entidad acreditada, vigente no mayor a 1 año)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calibración de instrumentos de medición de temperatura y presión utilizados (Emitido por IBMETRO o entidad acreditada, vigente no mayor a 1 año)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Plan de gestión de residuos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Informe de limpieza y calibrado ( Aprobado por el supervisor, Incluye entrega de placa calibradora)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Informe de la Prueba Hidrostática (Aprobado por</w:t>
            </w:r>
            <w:bookmarkStart w:id="0" w:name="_GoBack"/>
            <w:bookmarkEnd w:id="0"/>
            <w:r w:rsidRPr="008C258D">
              <w:rPr>
                <w:rFonts w:ascii="Calibri" w:hAnsi="Calibri" w:cs="Calibri"/>
                <w:iCs/>
                <w:sz w:val="20"/>
                <w:szCs w:val="20"/>
                <w:lang w:val="es-BO"/>
              </w:rPr>
              <w:t xml:space="preserve"> el Supervisor)  </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Informe de secado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Cartilla(s) de prueba hidrostática (Firmado por supervisor y personal de la ANH)</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lastRenderedPageBreak/>
              <w:t>TINTES PENETRANTES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inspector en tintes penetrantes Nivel II o equivalente</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Certificación de Materiales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Calidad de Tintes Penetrantes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B4C6E7"/>
            <w:vAlign w:val="center"/>
          </w:tcPr>
          <w:p w:rsidR="0001256D" w:rsidRPr="008C258D" w:rsidRDefault="0001256D" w:rsidP="00F829B8">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DOCUMENTO</w:t>
            </w:r>
          </w:p>
        </w:tc>
        <w:tc>
          <w:tcPr>
            <w:tcW w:w="2150"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Informe y registro de inspección por tintes penetrantes con detalle de juntas aprobadas y reprobadas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REGISTROS DE OBRA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Reportes Diarios de Obra ( Registro fotográfico, y avance por ítems %, aprobado por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Registros de Calidad</w:t>
            </w:r>
          </w:p>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 Según especificaciones, Procedimientos y solicitud de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SALUD SEGURIDAD Y MEDIO AMBIENTE</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De acuerdo a Validaciones Medio Ambientales y Seguridad y Salud Ocupacional</w:t>
            </w:r>
          </w:p>
        </w:tc>
        <w:tc>
          <w:tcPr>
            <w:tcW w:w="2150" w:type="dxa"/>
            <w:shd w:val="clear" w:color="auto" w:fill="auto"/>
            <w:vAlign w:val="center"/>
          </w:tcPr>
          <w:p w:rsidR="0001256D" w:rsidRPr="008C258D" w:rsidRDefault="0001256D" w:rsidP="00F829B8">
            <w:pPr>
              <w:jc w:val="center"/>
              <w:rPr>
                <w:rFonts w:ascii="Calibri" w:hAnsi="Calibri" w:cs="Calibri"/>
                <w:sz w:val="20"/>
                <w:szCs w:val="20"/>
              </w:rPr>
            </w:pPr>
            <w:r w:rsidRPr="008C258D">
              <w:rPr>
                <w:rFonts w:ascii="Calibri" w:hAnsi="Calibri" w:cs="Calibri"/>
                <w:iCs/>
                <w:sz w:val="20"/>
                <w:szCs w:val="20"/>
                <w:lang w:val="es-BO"/>
              </w:rPr>
              <w:t>Original</w:t>
            </w:r>
          </w:p>
        </w:tc>
      </w:tr>
    </w:tbl>
    <w:p w:rsidR="0001256D" w:rsidRPr="00B5715C" w:rsidRDefault="0001256D" w:rsidP="004D6161">
      <w:pPr>
        <w:contextualSpacing/>
        <w:jc w:val="both"/>
        <w:rPr>
          <w:rFonts w:asciiTheme="minorHAnsi" w:hAnsiTheme="minorHAnsi" w:cs="Vijaya"/>
          <w:bCs/>
          <w:color w:val="000000"/>
          <w:sz w:val="22"/>
          <w:szCs w:val="22"/>
          <w:lang w:eastAsia="es-BO"/>
        </w:rPr>
      </w:pPr>
    </w:p>
    <w:sectPr w:rsidR="0001256D" w:rsidRPr="00B5715C" w:rsidSect="00C16D62">
      <w:headerReference w:type="default" r:id="rId8"/>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5A1" w:rsidRDefault="00C315A1" w:rsidP="002D1D82">
      <w:r>
        <w:separator/>
      </w:r>
    </w:p>
  </w:endnote>
  <w:endnote w:type="continuationSeparator" w:id="0">
    <w:p w:rsidR="00C315A1" w:rsidRDefault="00C315A1"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3439"/>
      <w:gridCol w:w="3088"/>
    </w:tblGrid>
    <w:tr w:rsidR="00B5715C" w:rsidRPr="009A4B1A" w:rsidTr="00460888">
      <w:trPr>
        <w:trHeight w:val="8"/>
        <w:jc w:val="center"/>
      </w:trPr>
      <w:tc>
        <w:tcPr>
          <w:tcW w:w="156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shd w:val="clear" w:color="auto" w:fill="D9D9D9"/>
        </w:tcPr>
        <w:p w:rsidR="00B5715C" w:rsidRPr="009A4B1A" w:rsidRDefault="00B5715C" w:rsidP="00B5715C">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B5715C" w:rsidRPr="009A4B1A" w:rsidTr="00460888">
      <w:trPr>
        <w:trHeight w:val="925"/>
        <w:jc w:val="center"/>
      </w:trPr>
      <w:tc>
        <w:tcPr>
          <w:tcW w:w="1565" w:type="pct"/>
        </w:tcPr>
        <w:p w:rsidR="00B5715C" w:rsidRPr="009A4B1A" w:rsidRDefault="00B5715C" w:rsidP="00B5715C">
          <w:pPr>
            <w:spacing w:after="160" w:line="259" w:lineRule="auto"/>
            <w:rPr>
              <w:rFonts w:ascii="Verdana" w:eastAsia="Arial Unicode MS" w:hAnsi="Verdana" w:cs="Vijaya"/>
              <w:sz w:val="14"/>
              <w:lang w:val="es-MX"/>
            </w:rPr>
          </w:pPr>
        </w:p>
        <w:p w:rsidR="00B5715C" w:rsidRPr="009A4B1A" w:rsidRDefault="00B5715C" w:rsidP="00B5715C">
          <w:pPr>
            <w:jc w:val="right"/>
            <w:rPr>
              <w:rFonts w:ascii="Verdana" w:eastAsia="Arial Unicode MS" w:hAnsi="Verdana" w:cs="Vijaya"/>
              <w:sz w:val="14"/>
              <w:lang w:val="es-MX"/>
            </w:rPr>
          </w:pPr>
        </w:p>
      </w:tc>
      <w:tc>
        <w:tcPr>
          <w:tcW w:w="1810" w:type="pct"/>
        </w:tcPr>
        <w:p w:rsidR="00B5715C" w:rsidRPr="009A4B1A" w:rsidRDefault="00B5715C" w:rsidP="00B5715C">
          <w:pPr>
            <w:rPr>
              <w:rFonts w:ascii="Verdana" w:eastAsia="Arial Unicode MS" w:hAnsi="Verdana" w:cs="Vijaya"/>
              <w:b/>
              <w:sz w:val="14"/>
              <w:szCs w:val="16"/>
              <w:lang w:val="es-MX"/>
            </w:rPr>
          </w:pPr>
        </w:p>
      </w:tc>
      <w:tc>
        <w:tcPr>
          <w:tcW w:w="1625" w:type="pct"/>
        </w:tcPr>
        <w:p w:rsidR="00B5715C" w:rsidRPr="009A4B1A" w:rsidRDefault="00B5715C" w:rsidP="00B5715C">
          <w:pPr>
            <w:rPr>
              <w:rFonts w:ascii="Verdana" w:eastAsia="Arial Unicode MS" w:hAnsi="Verdana" w:cs="Vijaya"/>
              <w:b/>
              <w:sz w:val="14"/>
              <w:szCs w:val="16"/>
              <w:lang w:val="es-MX"/>
            </w:rPr>
          </w:pPr>
        </w:p>
      </w:tc>
    </w:tr>
    <w:tr w:rsidR="00B5715C" w:rsidRPr="009A4B1A" w:rsidTr="00460888">
      <w:trPr>
        <w:trHeight w:val="86"/>
        <w:jc w:val="center"/>
      </w:trPr>
      <w:tc>
        <w:tcPr>
          <w:tcW w:w="1565" w:type="pct"/>
          <w:shd w:val="clear" w:color="auto" w:fill="D9D9D9"/>
        </w:tcPr>
        <w:p w:rsidR="00B5715C" w:rsidRDefault="00B5715C" w:rsidP="00B5715C">
          <w:pPr>
            <w:jc w:val="center"/>
            <w:rPr>
              <w:rFonts w:ascii="Verdana" w:eastAsia="Arial Unicode MS" w:hAnsi="Verdana" w:cs="Vijaya"/>
              <w:sz w:val="12"/>
              <w:szCs w:val="16"/>
            </w:rPr>
          </w:pPr>
          <w:r>
            <w:rPr>
              <w:rFonts w:ascii="Verdana" w:eastAsia="Arial Unicode MS" w:hAnsi="Verdana" w:cs="Vijaya"/>
              <w:sz w:val="12"/>
              <w:szCs w:val="16"/>
            </w:rPr>
            <w:t xml:space="preserve">Ing. </w:t>
          </w:r>
          <w:r w:rsidR="00987538">
            <w:rPr>
              <w:rFonts w:ascii="Verdana" w:eastAsia="Arial Unicode MS" w:hAnsi="Verdana" w:cs="Vijaya"/>
              <w:sz w:val="12"/>
              <w:szCs w:val="16"/>
            </w:rPr>
            <w:t>Roger Miguel Ramallo Zenteno</w:t>
          </w:r>
        </w:p>
        <w:p w:rsidR="00B5715C" w:rsidRPr="00556B64" w:rsidRDefault="00B5715C" w:rsidP="00B5715C">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r w:rsidR="00987538">
            <w:rPr>
              <w:rFonts w:ascii="Verdana" w:eastAsia="Arial Unicode MS" w:hAnsi="Verdana" w:cs="Vijaya"/>
              <w:b/>
              <w:sz w:val="12"/>
              <w:szCs w:val="16"/>
            </w:rPr>
            <w:t xml:space="preserve"> II</w:t>
          </w:r>
        </w:p>
      </w:tc>
      <w:tc>
        <w:tcPr>
          <w:tcW w:w="1810"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Miguel Gonzales Escalera</w:t>
          </w:r>
        </w:p>
        <w:p w:rsidR="00B5715C" w:rsidRPr="009A4B1A" w:rsidRDefault="00B5715C" w:rsidP="00B5715C">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Angel Apolinar Vargas Guzman</w:t>
          </w:r>
        </w:p>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5D27F2" w:rsidRPr="00B5715C" w:rsidRDefault="005D27F2" w:rsidP="00B571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5A1" w:rsidRDefault="00C315A1" w:rsidP="002D1D82">
      <w:r>
        <w:separator/>
      </w:r>
    </w:p>
  </w:footnote>
  <w:footnote w:type="continuationSeparator" w:id="0">
    <w:p w:rsidR="00C315A1" w:rsidRDefault="00C315A1"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5715C" w:rsidRPr="00FA0D94" w:rsidTr="00460888">
      <w:trPr>
        <w:trHeight w:val="764"/>
      </w:trPr>
      <w:tc>
        <w:tcPr>
          <w:tcW w:w="1460" w:type="dxa"/>
          <w:vMerge w:val="restart"/>
          <w:vAlign w:val="center"/>
        </w:tcPr>
        <w:p w:rsidR="00B5715C" w:rsidRPr="00FA0D94" w:rsidRDefault="00B5715C" w:rsidP="00B5715C">
          <w:pPr>
            <w:pStyle w:val="Encabezado"/>
            <w:rPr>
              <w:rFonts w:ascii="Arial Narrow" w:eastAsia="Arial Unicode MS" w:hAnsi="Arial Narrow"/>
              <w:szCs w:val="12"/>
              <w:lang w:val="es-MX"/>
            </w:rPr>
          </w:pPr>
          <w:r w:rsidRPr="00454F7C">
            <w:rPr>
              <w:noProof/>
            </w:rPr>
            <w:drawing>
              <wp:inline distT="0" distB="0" distL="0" distR="0" wp14:anchorId="5360DAA5" wp14:editId="45B0DC6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145" w:type="dxa"/>
          <w:vAlign w:val="center"/>
        </w:tcPr>
        <w:p w:rsidR="00B5715C" w:rsidRPr="0076024C" w:rsidRDefault="00B5715C" w:rsidP="00B5715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5715C" w:rsidRPr="00F700A2" w:rsidRDefault="00B5715C" w:rsidP="00B5715C">
          <w:pPr>
            <w:pStyle w:val="Encabezado"/>
            <w:jc w:val="center"/>
            <w:rPr>
              <w:rFonts w:ascii="Calibri" w:eastAsia="Arial Unicode MS" w:hAnsi="Calibri" w:cs="Arial"/>
              <w:b/>
              <w:sz w:val="18"/>
              <w:szCs w:val="14"/>
              <w:lang w:val="es-MX"/>
            </w:rPr>
          </w:pPr>
          <w:r w:rsidRPr="00347804">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3</w:t>
          </w:r>
        </w:p>
        <w:p w:rsidR="00B5715C" w:rsidRPr="0076024C" w:rsidRDefault="00B5715C" w:rsidP="00B5715C">
          <w:pPr>
            <w:pStyle w:val="Encabezado"/>
            <w:jc w:val="center"/>
            <w:rPr>
              <w:rFonts w:ascii="Calibri" w:eastAsia="Arial Unicode MS" w:hAnsi="Calibri" w:cs="Arial"/>
              <w:b/>
              <w:sz w:val="14"/>
              <w:szCs w:val="14"/>
              <w:lang w:val="es-MX"/>
            </w:rPr>
          </w:pPr>
        </w:p>
      </w:tc>
    </w:tr>
    <w:tr w:rsidR="00B5715C" w:rsidRPr="00FA0D94" w:rsidTr="00460888">
      <w:trPr>
        <w:trHeight w:val="716"/>
      </w:trPr>
      <w:tc>
        <w:tcPr>
          <w:tcW w:w="1460" w:type="dxa"/>
          <w:vMerge/>
          <w:vAlign w:val="center"/>
        </w:tcPr>
        <w:p w:rsidR="00B5715C" w:rsidRPr="00FA0D94" w:rsidRDefault="00B5715C" w:rsidP="00B5715C">
          <w:pPr>
            <w:pStyle w:val="Encabezado"/>
            <w:jc w:val="center"/>
            <w:rPr>
              <w:rFonts w:ascii="Arial Narrow" w:eastAsia="Arial Unicode MS" w:hAnsi="Arial Narrow"/>
              <w:szCs w:val="12"/>
              <w:lang w:val="es-MX"/>
            </w:rPr>
          </w:pPr>
        </w:p>
      </w:tc>
      <w:tc>
        <w:tcPr>
          <w:tcW w:w="6272" w:type="dxa"/>
          <w:vAlign w:val="center"/>
        </w:tcPr>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DATA BOOK</w:t>
          </w:r>
        </w:p>
      </w:tc>
      <w:tc>
        <w:tcPr>
          <w:tcW w:w="1145" w:type="dxa"/>
          <w:vAlign w:val="center"/>
        </w:tcPr>
        <w:p w:rsidR="00B5715C" w:rsidRPr="0076024C" w:rsidRDefault="00B5715C" w:rsidP="00B5715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5715C" w:rsidRPr="0076024C" w:rsidRDefault="00B5715C" w:rsidP="00B5715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87538">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87538">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B5715C" w:rsidRDefault="00B571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1256D"/>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96D78"/>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97695"/>
    <w:rsid w:val="007A0C47"/>
    <w:rsid w:val="007A6C8E"/>
    <w:rsid w:val="007B141F"/>
    <w:rsid w:val="007B23E6"/>
    <w:rsid w:val="007B592C"/>
    <w:rsid w:val="007C2D23"/>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87538"/>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5715C"/>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5013"/>
    <w:rsid w:val="00C06881"/>
    <w:rsid w:val="00C12FD8"/>
    <w:rsid w:val="00C16D62"/>
    <w:rsid w:val="00C21BEC"/>
    <w:rsid w:val="00C315A1"/>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47FA"/>
    <w:rsid w:val="00D25A33"/>
    <w:rsid w:val="00D27CF6"/>
    <w:rsid w:val="00D309D6"/>
    <w:rsid w:val="00D41427"/>
    <w:rsid w:val="00D419C7"/>
    <w:rsid w:val="00D46830"/>
    <w:rsid w:val="00D535AF"/>
    <w:rsid w:val="00D53844"/>
    <w:rsid w:val="00D56F08"/>
    <w:rsid w:val="00D7382E"/>
    <w:rsid w:val="00D74A53"/>
    <w:rsid w:val="00D811AF"/>
    <w:rsid w:val="00D8416A"/>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C4FCE-96E4-48ED-B778-DFD4EFB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본문1"/>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aliases w:val="PARRAFO Car,본문1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66560-9D40-481E-A597-BDCB7D0B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1147</Words>
  <Characters>6309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Roger Miguel  Ramallo Zenteno</cp:lastModifiedBy>
  <cp:revision>34</cp:revision>
  <cp:lastPrinted>2017-11-06T19:43:00Z</cp:lastPrinted>
  <dcterms:created xsi:type="dcterms:W3CDTF">2016-05-16T19:02:00Z</dcterms:created>
  <dcterms:modified xsi:type="dcterms:W3CDTF">2018-07-27T23:00:00Z</dcterms:modified>
</cp:coreProperties>
</file>