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Proyectos de Red Primaria</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1C5A39">
        <w:trPr>
          <w:trHeight w:val="404"/>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vAlign w:val="center"/>
          </w:tcPr>
          <w:p w:rsidR="00220A52" w:rsidRPr="00220A52" w:rsidRDefault="00220A52" w:rsidP="001C5A39">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1C5A39">
        <w:trPr>
          <w:trHeight w:val="28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Cursos relacio</w:t>
            </w:r>
            <w:r w:rsidR="00764916">
              <w:rPr>
                <w:rFonts w:ascii="Cambria" w:hAnsi="Cambria"/>
                <w:sz w:val="20"/>
                <w:szCs w:val="20"/>
              </w:rPr>
              <w:t xml:space="preserve">nados con “Sistemas de Gestión </w:t>
            </w:r>
            <w:r w:rsidRPr="00220A52">
              <w:rPr>
                <w:rFonts w:ascii="Cambria" w:hAnsi="Cambria"/>
                <w:sz w:val="20"/>
                <w:szCs w:val="20"/>
              </w:rPr>
              <w:t>de Seguridad, Salud Ocupacional y Medio Ambiente” (OHSAS 18001 - ISO 14001).</w:t>
            </w:r>
          </w:p>
        </w:tc>
      </w:tr>
      <w:tr w:rsidR="00220A52" w:rsidRPr="00220A52" w:rsidTr="001C5A39">
        <w:trPr>
          <w:trHeight w:val="121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Legislación en Seguridad, Salud Ocupacional y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Seguridad para trabajo en espacios confinados, trabajos de izaje de cargas, trabajo en excavaciones, trabajos en altura, Bloqueo y etiquetado, Identificación y control de factores de riesgo para la Salud.</w:t>
            </w:r>
          </w:p>
          <w:p w:rsidR="00220A52" w:rsidRPr="00220A52" w:rsidRDefault="00220A52" w:rsidP="001C5A39">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1C5A39">
        <w:trPr>
          <w:trHeight w:val="67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general de 3 años y experiencia específica de 2 años en cargos similares en proyectos de gas y petróleo, construcción, y/o rubro industrial.</w:t>
            </w:r>
          </w:p>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Manejo y/o supervisión de personal</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Gestión de indicadores de SySO</w:t>
            </w:r>
          </w:p>
        </w:tc>
      </w:tr>
    </w:tbl>
    <w:p w:rsidR="00220A52" w:rsidRPr="00220A52" w:rsidRDefault="00220A52" w:rsidP="00220A52">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(altura, espacios confinados,      eléctricos, trabajos en caliente, etc,)</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E062CB" w:rsidP="00A518D9">
      <w:pPr>
        <w:pStyle w:val="Prrafodelista"/>
        <w:ind w:left="360"/>
        <w:jc w:val="both"/>
        <w:rPr>
          <w:rFonts w:ascii="Cambria" w:hAnsi="Cambria" w:cs="Verdana"/>
          <w:bCs/>
          <w:color w:val="000000"/>
          <w:sz w:val="22"/>
          <w:szCs w:val="22"/>
        </w:rPr>
      </w:pPr>
      <w:r w:rsidRPr="00E062CB">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r w:rsidR="00A518D9" w:rsidRPr="00A518D9">
        <w:rPr>
          <w:rFonts w:ascii="Cambria" w:hAnsi="Cambria" w:cs="Verdana"/>
          <w:bCs/>
          <w:color w:val="000000"/>
          <w:sz w:val="22"/>
          <w:szCs w:val="22"/>
        </w:rPr>
        <w:t>:</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E062CB" w:rsidRPr="00E062CB" w:rsidRDefault="00E062CB" w:rsidP="00E062CB">
      <w:pPr>
        <w:pStyle w:val="Prrafodelista"/>
        <w:ind w:left="360"/>
        <w:jc w:val="both"/>
        <w:rPr>
          <w:rFonts w:ascii="Cambria" w:hAnsi="Cambria" w:cs="Verdana"/>
          <w:bCs/>
          <w:color w:val="000000"/>
          <w:sz w:val="22"/>
          <w:szCs w:val="22"/>
        </w:rPr>
      </w:pPr>
      <w:r w:rsidRPr="00E062CB">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y materiales.</w:t>
      </w:r>
    </w:p>
    <w:p w:rsidR="00A518D9" w:rsidRPr="00705FDF" w:rsidRDefault="00E062CB" w:rsidP="00E062CB">
      <w:pPr>
        <w:pStyle w:val="Prrafodelista"/>
        <w:ind w:left="360"/>
        <w:jc w:val="both"/>
        <w:rPr>
          <w:rFonts w:ascii="Cambria" w:hAnsi="Cambria" w:cs="Verdana"/>
          <w:bCs/>
          <w:color w:val="000000"/>
          <w:sz w:val="22"/>
          <w:szCs w:val="22"/>
        </w:rPr>
      </w:pPr>
      <w:r w:rsidRPr="00E062CB">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E062CB" w:rsidP="00A518D9">
      <w:pPr>
        <w:pStyle w:val="Prrafodelista"/>
        <w:ind w:left="360"/>
        <w:jc w:val="both"/>
        <w:rPr>
          <w:rFonts w:ascii="Cambria" w:hAnsi="Cambria" w:cs="Verdana"/>
          <w:bCs/>
          <w:color w:val="000000"/>
          <w:sz w:val="22"/>
          <w:szCs w:val="22"/>
        </w:rPr>
      </w:pPr>
      <w:r w:rsidRPr="00E062CB">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 El límite de indemnización por evento y/o reclamos deberá ser por $us. 100.000</w:t>
      </w:r>
      <w:r w:rsidR="00A518D9" w:rsidRPr="00705FDF">
        <w:rPr>
          <w:rFonts w:ascii="Cambria" w:hAnsi="Cambria" w:cs="Verdana"/>
          <w:bCs/>
          <w:color w:val="000000"/>
          <w:sz w:val="22"/>
          <w:szCs w:val="22"/>
        </w:rPr>
        <w:t>.</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E062CB" w:rsidP="00A518D9">
      <w:pPr>
        <w:pStyle w:val="Prrafodelista"/>
        <w:ind w:left="360"/>
        <w:jc w:val="both"/>
        <w:rPr>
          <w:rFonts w:ascii="Cambria" w:hAnsi="Cambria" w:cs="Verdana"/>
          <w:bCs/>
          <w:color w:val="000000"/>
          <w:sz w:val="22"/>
          <w:szCs w:val="22"/>
        </w:rPr>
      </w:pPr>
      <w:r w:rsidRPr="00E062CB">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deberán ser emitidos por una Compañía de Seguros</w:t>
      </w:r>
      <w:r w:rsidR="00A518D9" w:rsidRPr="00705FDF">
        <w:rPr>
          <w:rFonts w:ascii="Cambria" w:hAnsi="Cambria" w:cs="Verdana"/>
          <w:bCs/>
          <w:color w:val="000000"/>
          <w:sz w:val="22"/>
          <w:szCs w:val="22"/>
        </w:rPr>
        <w:t>.</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E062CB" w:rsidP="00E062CB">
      <w:pPr>
        <w:pStyle w:val="Prrafodelista"/>
        <w:numPr>
          <w:ilvl w:val="0"/>
          <w:numId w:val="10"/>
        </w:numPr>
        <w:jc w:val="both"/>
        <w:rPr>
          <w:rFonts w:ascii="Cambria" w:hAnsi="Cambria" w:cs="Verdana"/>
          <w:bCs/>
          <w:color w:val="000000"/>
          <w:sz w:val="22"/>
          <w:szCs w:val="22"/>
        </w:rPr>
      </w:pPr>
      <w:r w:rsidRPr="00E062CB">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00A518D9" w:rsidRPr="00705FDF">
        <w:rPr>
          <w:rFonts w:ascii="Cambria" w:hAnsi="Cambria" w:cs="Verdana"/>
          <w:bCs/>
          <w:color w:val="000000"/>
          <w:sz w:val="22"/>
          <w:szCs w:val="22"/>
        </w:rPr>
        <w:t>.</w:t>
      </w:r>
    </w:p>
    <w:p w:rsidR="00A518D9" w:rsidRPr="00705FDF" w:rsidRDefault="00E062CB" w:rsidP="00E062CB">
      <w:pPr>
        <w:pStyle w:val="Prrafodelista"/>
        <w:numPr>
          <w:ilvl w:val="0"/>
          <w:numId w:val="10"/>
        </w:numPr>
        <w:jc w:val="both"/>
        <w:rPr>
          <w:rFonts w:ascii="Cambria" w:hAnsi="Cambria" w:cs="Verdana"/>
          <w:bCs/>
          <w:color w:val="000000"/>
          <w:sz w:val="22"/>
          <w:szCs w:val="22"/>
        </w:rPr>
      </w:pPr>
      <w:r w:rsidRPr="00E062CB">
        <w:rPr>
          <w:rFonts w:ascii="Cambria" w:hAnsi="Cambria" w:cs="Verdana"/>
          <w:bCs/>
          <w:color w:val="000000"/>
          <w:sz w:val="22"/>
          <w:szCs w:val="22"/>
        </w:rPr>
        <w:lastRenderedPageBreak/>
        <w:t>La empresa adjudicada, deberá entregar una copia de las citadas pólizas a YPFB antes de la suscripción del contrato</w:t>
      </w:r>
      <w:r w:rsidR="00A518D9" w:rsidRPr="00705FDF">
        <w:rPr>
          <w:rFonts w:ascii="Cambria" w:hAnsi="Cambria" w:cs="Verdana"/>
          <w:bCs/>
          <w:color w:val="000000"/>
          <w:sz w:val="22"/>
          <w:szCs w:val="22"/>
        </w:rPr>
        <w:t>.</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bookmarkStart w:id="0" w:name="_GoBack"/>
      <w:bookmarkEnd w:id="0"/>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14924" w:rsidRDefault="00E14924" w:rsidP="00132ED7">
      <w:pPr>
        <w:pStyle w:val="Prrafodelista"/>
        <w:ind w:left="360"/>
        <w:jc w:val="both"/>
        <w:rPr>
          <w:rFonts w:ascii="Cambria" w:hAnsi="Cambria" w:cs="Verdana"/>
          <w:bCs/>
          <w:color w:val="000000"/>
          <w:sz w:val="22"/>
          <w:szCs w:val="22"/>
          <w:lang w:val="es-BO"/>
        </w:rPr>
      </w:pPr>
    </w:p>
    <w:tbl>
      <w:tblPr>
        <w:tblW w:w="8843" w:type="dxa"/>
        <w:tblInd w:w="5"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4C270B" w:rsidTr="008E45A1">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1C5A39">
            <w:pPr>
              <w:jc w:val="center"/>
              <w:rPr>
                <w:color w:val="000000"/>
                <w:sz w:val="20"/>
                <w:szCs w:val="20"/>
                <w:lang w:eastAsia="es-BO"/>
              </w:rPr>
            </w:pPr>
            <w:r>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FF282D" w:rsidTr="008E45A1">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FF282D" w:rsidRDefault="00AD599A" w:rsidP="001C5A39">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AD599A" w:rsidRPr="00FF282D" w:rsidTr="008E45A1">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FF282D" w:rsidRDefault="00AD599A" w:rsidP="001C5A39">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AD599A" w:rsidRPr="00E8489F" w:rsidTr="008E45A1">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E8489F" w:rsidRDefault="00AD599A" w:rsidP="001C5A39">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8E45A1">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AD599A" w:rsidRPr="00E8489F" w:rsidTr="008E45A1">
        <w:trPr>
          <w:trHeight w:val="207"/>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8E45A1">
        <w:trPr>
          <w:trHeight w:val="458"/>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709DE" w:rsidRDefault="00AD599A" w:rsidP="001C5A39">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AD599A" w:rsidRPr="00E8489F" w:rsidRDefault="00AD599A" w:rsidP="001C5A39">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5709DE" w:rsidRDefault="00AD599A" w:rsidP="001C5A39">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AD599A" w:rsidRPr="00E8489F" w:rsidRDefault="00AD599A" w:rsidP="001C5A39">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FF282D" w:rsidTr="008E45A1">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E8489F" w:rsidRDefault="00AD599A" w:rsidP="001C5A39">
            <w:pPr>
              <w:jc w:val="center"/>
              <w:rPr>
                <w:b/>
                <w:color w:val="000000"/>
                <w:sz w:val="18"/>
                <w:szCs w:val="16"/>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1C5A39">
            <w:pPr>
              <w:jc w:val="center"/>
              <w:rPr>
                <w:b/>
                <w:color w:val="000000"/>
                <w:sz w:val="18"/>
                <w:szCs w:val="16"/>
                <w:lang w:eastAsia="es-BO"/>
              </w:rPr>
            </w:pPr>
          </w:p>
        </w:tc>
      </w:tr>
      <w:tr w:rsidR="00AD599A" w:rsidRPr="004C270B" w:rsidTr="008E45A1">
        <w:trPr>
          <w:trHeight w:val="458"/>
        </w:trPr>
        <w:tc>
          <w:tcPr>
            <w:tcW w:w="1129" w:type="dxa"/>
            <w:vMerge/>
            <w:tcBorders>
              <w:top w:val="nil"/>
              <w:left w:val="single" w:sz="8" w:space="0" w:color="auto"/>
              <w:bottom w:val="single" w:sz="8" w:space="0" w:color="000000"/>
              <w:right w:val="single" w:sz="4" w:space="0" w:color="auto"/>
            </w:tcBorders>
            <w:vAlign w:val="center"/>
            <w:hideMark/>
          </w:tcPr>
          <w:p w:rsidR="00AD599A" w:rsidRPr="004C270B" w:rsidRDefault="00AD599A" w:rsidP="001C5A39">
            <w:pPr>
              <w:rPr>
                <w:color w:val="000000"/>
                <w:sz w:val="16"/>
                <w:szCs w:val="16"/>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4C270B" w:rsidRDefault="00AD599A" w:rsidP="001C5A39">
            <w:pPr>
              <w:rPr>
                <w:color w:val="000000"/>
                <w:sz w:val="16"/>
                <w:szCs w:val="16"/>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4C270B" w:rsidRDefault="00AD599A" w:rsidP="001C5A39">
            <w:pPr>
              <w:rPr>
                <w:color w:val="000000"/>
                <w:sz w:val="16"/>
                <w:szCs w:val="16"/>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4C270B" w:rsidRDefault="00AD599A" w:rsidP="001C5A39">
            <w:pPr>
              <w:rPr>
                <w:color w:val="000000"/>
                <w:sz w:val="16"/>
                <w:szCs w:val="16"/>
                <w:lang w:eastAsia="es-BO"/>
              </w:rPr>
            </w:pPr>
          </w:p>
        </w:tc>
      </w:tr>
      <w:tr w:rsidR="00AD599A" w:rsidRPr="004C270B" w:rsidTr="008E45A1">
        <w:trPr>
          <w:trHeight w:val="458"/>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r>
      <w:tr w:rsidR="00AD599A" w:rsidRPr="004C270B" w:rsidTr="008E45A1">
        <w:trPr>
          <w:trHeight w:val="458"/>
        </w:trPr>
        <w:tc>
          <w:tcPr>
            <w:tcW w:w="1129" w:type="dxa"/>
            <w:vMerge/>
            <w:tcBorders>
              <w:top w:val="nil"/>
              <w:left w:val="single" w:sz="8"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4C270B" w:rsidRDefault="00AD599A" w:rsidP="001C5A39">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124" w:type="pct"/>
        <w:tblInd w:w="-132"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4C270B" w:rsidTr="008E45A1">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1C5A39">
            <w:pPr>
              <w:jc w:val="center"/>
              <w:rPr>
                <w:color w:val="000000"/>
                <w:sz w:val="20"/>
                <w:szCs w:val="20"/>
                <w:lang w:eastAsia="es-BO"/>
              </w:rPr>
            </w:pPr>
            <w:r>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9907E3" w:rsidTr="008E45A1">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FF282D" w:rsidRDefault="00AD599A" w:rsidP="001C5A39">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AD599A" w:rsidRPr="0051317B" w:rsidTr="008E45A1">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51317B" w:rsidRDefault="00AD599A" w:rsidP="001C5A39">
            <w:pPr>
              <w:rPr>
                <w:b/>
                <w:color w:val="FFFFFF"/>
                <w:lang w:eastAsia="es-BO"/>
              </w:rPr>
            </w:pPr>
            <w:r w:rsidRPr="0051317B">
              <w:rPr>
                <w:b/>
                <w:color w:val="FFFFFF"/>
                <w:lang w:eastAsia="es-BO"/>
              </w:rPr>
              <w:t>2.1  OBRAS MECANICAS RED PRIMARIA</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8E45A1">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8E45A1">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AD599A" w:rsidRPr="00E8489F"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07"/>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r>
      <w:tr w:rsidR="00AD599A" w:rsidRPr="00E8489F" w:rsidTr="008E45A1">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5709DE" w:rsidRDefault="00AD599A" w:rsidP="001C5A39">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07"/>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rPr>
                <w:b/>
                <w:color w:val="000000"/>
                <w:sz w:val="18"/>
                <w:szCs w:val="16"/>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lastRenderedPageBreak/>
              <w:t xml:space="preserve"> Distrital de Redes de Gas </w:t>
            </w:r>
          </w:p>
        </w:tc>
      </w:tr>
      <w:tr w:rsidR="00AD599A" w:rsidRPr="002F0A3E" w:rsidTr="008E45A1">
        <w:trPr>
          <w:trHeight w:val="458"/>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r>
      <w:tr w:rsidR="00AD599A" w:rsidRPr="002F0A3E" w:rsidTr="008E45A1">
        <w:trPr>
          <w:trHeight w:val="458"/>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2F0A3E" w:rsidRDefault="00AD599A" w:rsidP="001C5A39">
            <w:pPr>
              <w:rPr>
                <w:color w:val="000000"/>
                <w:sz w:val="16"/>
                <w:szCs w:val="16"/>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2F0A3E" w:rsidRDefault="00AD599A" w:rsidP="001C5A39">
            <w:pPr>
              <w:rPr>
                <w:color w:val="000000"/>
                <w:sz w:val="16"/>
                <w:szCs w:val="16"/>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2F0A3E" w:rsidRDefault="00AD599A" w:rsidP="001C5A39">
            <w:pPr>
              <w:rPr>
                <w:color w:val="000000"/>
                <w:sz w:val="16"/>
                <w:szCs w:val="16"/>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2F0A3E" w:rsidRDefault="00AD599A" w:rsidP="001C5A39">
            <w:pPr>
              <w:rPr>
                <w:color w:val="000000"/>
                <w:sz w:val="16"/>
                <w:szCs w:val="16"/>
                <w:lang w:eastAsia="es-BO"/>
              </w:rPr>
            </w:pPr>
          </w:p>
        </w:tc>
      </w:tr>
      <w:tr w:rsidR="00AD599A" w:rsidRPr="002F0A3E" w:rsidTr="008E45A1">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AD599A" w:rsidRPr="002F0A3E" w:rsidRDefault="00AD599A" w:rsidP="001C5A39">
            <w:pPr>
              <w:rPr>
                <w:color w:val="FFFFFF"/>
                <w:lang w:eastAsia="es-BO"/>
              </w:rPr>
            </w:pPr>
            <w:r>
              <w:rPr>
                <w:color w:val="FFFFFF"/>
                <w:lang w:eastAsia="es-BO"/>
              </w:rPr>
              <w:lastRenderedPageBreak/>
              <w:t>2</w:t>
            </w:r>
            <w:r w:rsidRPr="002F0A3E">
              <w:rPr>
                <w:color w:val="FFFFFF"/>
                <w:lang w:eastAsia="es-BO"/>
              </w:rPr>
              <w:t>.3 OBRAS MECANICAS EDR</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8E45A1">
        <w:trPr>
          <w:trHeight w:val="289"/>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8E45A1">
        <w:trPr>
          <w:trHeight w:val="217"/>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31"/>
        </w:trPr>
        <w:tc>
          <w:tcPr>
            <w:tcW w:w="1535" w:type="pct"/>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nil"/>
              <w:left w:val="single" w:sz="4" w:space="0" w:color="auto"/>
              <w:bottom w:val="single" w:sz="4" w:space="0" w:color="auto"/>
              <w:right w:val="single" w:sz="8" w:space="0" w:color="000000"/>
            </w:tcBorders>
            <w:shd w:val="clear" w:color="000000" w:fill="D6DCE4"/>
            <w:vAlign w:val="center"/>
            <w:hideMark/>
          </w:tcPr>
          <w:p w:rsidR="00AD599A" w:rsidRPr="00E8489F" w:rsidRDefault="00AD599A" w:rsidP="001C5A39">
            <w:pPr>
              <w:jc w:val="center"/>
              <w:rPr>
                <w:b/>
                <w:color w:val="000000"/>
                <w:sz w:val="18"/>
                <w:szCs w:val="16"/>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 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1C5A39">
            <w:pPr>
              <w:jc w:val="center"/>
              <w:rPr>
                <w:b/>
                <w:color w:val="000000"/>
                <w:sz w:val="18"/>
                <w:szCs w:val="16"/>
                <w:lang w:eastAsia="es-BO"/>
              </w:rPr>
            </w:pPr>
          </w:p>
        </w:tc>
      </w:tr>
      <w:tr w:rsidR="00AD599A" w:rsidRPr="002F0A3E" w:rsidTr="008E45A1">
        <w:trPr>
          <w:trHeight w:val="458"/>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2F0A3E" w:rsidRDefault="00AD599A" w:rsidP="001C5A39">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86" w:type="pct"/>
        <w:tblInd w:w="-152" w:type="dxa"/>
        <w:tblCellMar>
          <w:left w:w="70" w:type="dxa"/>
          <w:right w:w="70" w:type="dxa"/>
        </w:tblCellMar>
        <w:tblLook w:val="04A0" w:firstRow="1" w:lastRow="0" w:firstColumn="1" w:lastColumn="0" w:noHBand="0" w:noVBand="1"/>
      </w:tblPr>
      <w:tblGrid>
        <w:gridCol w:w="2239"/>
        <w:gridCol w:w="2842"/>
        <w:gridCol w:w="1852"/>
        <w:gridCol w:w="2037"/>
      </w:tblGrid>
      <w:tr w:rsidR="00AD599A" w:rsidRPr="00183699" w:rsidTr="001C5A39">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183699" w:rsidRDefault="008E45A1" w:rsidP="001C5A39">
            <w:pPr>
              <w:jc w:val="both"/>
              <w:rPr>
                <w:b/>
                <w:color w:val="FFFFFF" w:themeColor="background1"/>
                <w:lang w:eastAsia="es-BO"/>
              </w:rPr>
            </w:pPr>
            <w:r>
              <w:rPr>
                <w:b/>
                <w:color w:val="FFFFFF" w:themeColor="background1"/>
                <w:lang w:eastAsia="es-BO"/>
              </w:rPr>
              <w:t>3</w:t>
            </w:r>
            <w:r w:rsidR="00AD599A" w:rsidRPr="00183699">
              <w:rPr>
                <w:b/>
                <w:color w:val="FFFFFF" w:themeColor="background1"/>
                <w:lang w:eastAsia="es-BO"/>
              </w:rPr>
              <w:t>.- REQUISITOS DE PROTECCION AMBIENTAL CONTRATISTAS SERVICIOS DE MANTENIMIENTO</w:t>
            </w:r>
          </w:p>
        </w:tc>
      </w:tr>
      <w:tr w:rsidR="00AD599A" w:rsidRPr="00183699" w:rsidTr="001C5A39">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183699" w:rsidRDefault="008E45A1" w:rsidP="001C5A39">
            <w:pPr>
              <w:jc w:val="both"/>
              <w:rPr>
                <w:b/>
                <w:color w:val="FFFFFF" w:themeColor="background1"/>
                <w:lang w:eastAsia="es-BO"/>
              </w:rPr>
            </w:pPr>
            <w:r>
              <w:rPr>
                <w:b/>
                <w:color w:val="FFFFFF" w:themeColor="background1"/>
                <w:lang w:eastAsia="es-BO"/>
              </w:rPr>
              <w:t>3</w:t>
            </w:r>
            <w:r w:rsidR="00AD599A">
              <w:rPr>
                <w:b/>
                <w:color w:val="FFFFFF" w:themeColor="background1"/>
                <w:lang w:eastAsia="es-BO"/>
              </w:rPr>
              <w:t>.1</w:t>
            </w:r>
            <w:r w:rsidR="00AD599A" w:rsidRPr="00183699">
              <w:rPr>
                <w:b/>
                <w:color w:val="FFFFFF" w:themeColor="background1"/>
                <w:lang w:eastAsia="es-BO"/>
              </w:rPr>
              <w:t xml:space="preserve"> SERVICIOS DE INSTALACION DE VALVULAS</w:t>
            </w:r>
            <w:r w:rsidR="00AD599A">
              <w:rPr>
                <w:b/>
                <w:color w:val="FFFFFF" w:themeColor="background1"/>
                <w:lang w:eastAsia="es-BO"/>
              </w:rPr>
              <w:t xml:space="preserve"> RED PRIMARIA</w:t>
            </w:r>
            <w:r w:rsidR="00AD599A" w:rsidRPr="00183699">
              <w:rPr>
                <w:b/>
                <w:color w:val="FFFFFF" w:themeColor="background1"/>
                <w:lang w:eastAsia="es-BO"/>
              </w:rPr>
              <w:t>, IMPLEMENTACION DE SISTEMAS DE PROTECCIÓN CATÓDICA, SISTEMA DE ODORIZACIÓN, PUESTA EN MARCHA DE CITY GATE,</w:t>
            </w:r>
            <w:r w:rsidR="00AD599A">
              <w:rPr>
                <w:b/>
                <w:color w:val="FFFFFF" w:themeColor="background1"/>
                <w:lang w:eastAsia="es-BO"/>
              </w:rPr>
              <w:t xml:space="preserve"> SUMINISTRO DE ENERGÍA ELÉCTRICA,</w:t>
            </w:r>
            <w:r w:rsidR="00AD599A" w:rsidRPr="00183699">
              <w:rPr>
                <w:b/>
                <w:color w:val="FFFFFF" w:themeColor="background1"/>
                <w:lang w:eastAsia="es-BO"/>
              </w:rPr>
              <w:t xml:space="preserve"> ODORIZADOR, EDR Y EJECUCION DE HOT TAP</w:t>
            </w:r>
          </w:p>
        </w:tc>
      </w:tr>
      <w:tr w:rsidR="00AD599A" w:rsidRPr="00E8489F"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1C5A39">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1C5A39">
        <w:trPr>
          <w:trHeight w:val="458"/>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rPr>
                <w:rFonts w:ascii="Times" w:hAnsi="Times" w:cs="Times"/>
                <w:color w:val="000000"/>
                <w:sz w:val="18"/>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rPr>
                <w:rFonts w:ascii="Times" w:hAnsi="Times" w:cs="Times"/>
                <w:color w:val="000000"/>
                <w:sz w:val="18"/>
                <w:szCs w:val="16"/>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1C5A39">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1C5A39">
            <w:pPr>
              <w:jc w:val="center"/>
              <w:rPr>
                <w:rFonts w:ascii="Times" w:hAnsi="Times" w:cs="Times"/>
                <w:color w:val="000000"/>
                <w:sz w:val="18"/>
                <w:szCs w:val="16"/>
                <w:lang w:eastAsia="es-BO"/>
              </w:rPr>
            </w:pP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1C5A39">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1C5A39">
            <w:pPr>
              <w:jc w:val="center"/>
              <w:rPr>
                <w:rFonts w:ascii="Times" w:hAnsi="Times" w:cs="Times"/>
                <w:color w:val="000000"/>
                <w:sz w:val="18"/>
                <w:szCs w:val="16"/>
                <w:lang w:eastAsia="es-BO"/>
              </w:rPr>
            </w:pP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042BAF" w:rsidRDefault="00AD599A" w:rsidP="001C5A39">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1C5A39">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E8489F" w:rsidRDefault="00AD599A" w:rsidP="001C5A39">
            <w:pPr>
              <w:jc w:val="center"/>
              <w:rPr>
                <w:b/>
                <w:color w:val="000000"/>
                <w:sz w:val="18"/>
                <w:szCs w:val="16"/>
                <w:highlight w:val="yellow"/>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1C5A39">
            <w:pPr>
              <w:jc w:val="center"/>
              <w:rPr>
                <w:b/>
                <w:color w:val="000000"/>
                <w:sz w:val="18"/>
                <w:szCs w:val="16"/>
                <w:lang w:eastAsia="es-BO"/>
              </w:rPr>
            </w:pPr>
            <w:r w:rsidRPr="00E8489F">
              <w:rPr>
                <w:b/>
                <w:color w:val="000000"/>
                <w:sz w:val="18"/>
                <w:szCs w:val="16"/>
                <w:lang w:eastAsia="es-BO"/>
              </w:rPr>
              <w:t> </w:t>
            </w:r>
          </w:p>
        </w:tc>
      </w:tr>
      <w:tr w:rsidR="00AD599A" w:rsidRPr="004C270B" w:rsidTr="001C5A39">
        <w:trPr>
          <w:trHeight w:val="458"/>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4C270B" w:rsidRDefault="00AD599A" w:rsidP="001C5A39">
            <w:pPr>
              <w:rPr>
                <w:color w:val="000000"/>
                <w:sz w:val="16"/>
                <w:szCs w:val="16"/>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1C5A39">
            <w:pPr>
              <w:rPr>
                <w:color w:val="000000"/>
                <w:sz w:val="16"/>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1C5A39">
            <w:pPr>
              <w:rPr>
                <w:color w:val="000000"/>
                <w:sz w:val="16"/>
                <w:szCs w:val="16"/>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4C270B" w:rsidRDefault="00AD599A" w:rsidP="001C5A39">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1C5A39" w:rsidP="001C5A39">
            <w:pPr>
              <w:rPr>
                <w:b/>
                <w:sz w:val="22"/>
                <w:szCs w:val="22"/>
                <w:lang w:val="es-BO" w:eastAsia="es-BO"/>
              </w:rPr>
            </w:pPr>
            <w:r>
              <w:rPr>
                <w:b/>
                <w:sz w:val="22"/>
                <w:szCs w:val="22"/>
                <w:lang w:val="es-BO" w:eastAsia="es-BO"/>
              </w:rPr>
              <w:t>4</w:t>
            </w:r>
            <w:r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1C5A39" w:rsidP="001C5A39">
            <w:pPr>
              <w:jc w:val="both"/>
              <w:rPr>
                <w:b/>
                <w:sz w:val="22"/>
                <w:szCs w:val="22"/>
                <w:lang w:val="es-BO" w:eastAsia="es-BO"/>
              </w:rPr>
            </w:pPr>
            <w:r>
              <w:rPr>
                <w:b/>
                <w:sz w:val="22"/>
                <w:szCs w:val="22"/>
                <w:lang w:eastAsia="es-BO"/>
              </w:rPr>
              <w:t>4</w:t>
            </w:r>
            <w:r>
              <w:rPr>
                <w:b/>
                <w:sz w:val="22"/>
                <w:szCs w:val="22"/>
                <w:lang w:val="es-BO" w:eastAsia="es-BO"/>
              </w:rPr>
              <w:t>.1 OBRAS CIVILES RED SECUNDARIA (INCLUYE SONDEO Y REPLANTEO, INTERCONEXIÓN DE CIRCUITOS ENTRE EDRs)</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8E45A1" w:rsidP="001C5A39">
            <w:pPr>
              <w:rPr>
                <w:b/>
                <w:lang w:eastAsia="es-BO"/>
              </w:rPr>
            </w:pPr>
            <w:r>
              <w:rPr>
                <w:b/>
                <w:lang w:eastAsia="es-BO"/>
              </w:rPr>
              <w:t>4</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Publicas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(Empresa) deberá estar respaldado por los registrados en los siguientes documentos, según corresponda al documento requerido en el DBC o DCD o EETT o TDRs:</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requerida, considerando el inc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DF" w:rsidRDefault="00A813DF" w:rsidP="00FA1896">
      <w:r>
        <w:separator/>
      </w:r>
    </w:p>
  </w:endnote>
  <w:endnote w:type="continuationSeparator" w:id="0">
    <w:p w:rsidR="00A813DF" w:rsidRDefault="00A813DF"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DF" w:rsidRDefault="00A813DF" w:rsidP="00FA1896">
      <w:r>
        <w:separator/>
      </w:r>
    </w:p>
  </w:footnote>
  <w:footnote w:type="continuationSeparator" w:id="0">
    <w:p w:rsidR="00A813DF" w:rsidRDefault="00A813DF"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062CB">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062CB">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32ED7"/>
    <w:rsid w:val="00156656"/>
    <w:rsid w:val="001B4D31"/>
    <w:rsid w:val="001C5A39"/>
    <w:rsid w:val="00220A52"/>
    <w:rsid w:val="00246314"/>
    <w:rsid w:val="002C200B"/>
    <w:rsid w:val="00300519"/>
    <w:rsid w:val="00384E3C"/>
    <w:rsid w:val="003B6307"/>
    <w:rsid w:val="003D4AC9"/>
    <w:rsid w:val="004164F9"/>
    <w:rsid w:val="00493101"/>
    <w:rsid w:val="00496C8B"/>
    <w:rsid w:val="00570F9B"/>
    <w:rsid w:val="005E042E"/>
    <w:rsid w:val="00764916"/>
    <w:rsid w:val="007A5043"/>
    <w:rsid w:val="00863BE1"/>
    <w:rsid w:val="008764E9"/>
    <w:rsid w:val="00895B7A"/>
    <w:rsid w:val="00896D10"/>
    <w:rsid w:val="008E45A1"/>
    <w:rsid w:val="00961EDF"/>
    <w:rsid w:val="00966E9D"/>
    <w:rsid w:val="00970E61"/>
    <w:rsid w:val="00986D2E"/>
    <w:rsid w:val="00A518D9"/>
    <w:rsid w:val="00A813DF"/>
    <w:rsid w:val="00A81546"/>
    <w:rsid w:val="00AD599A"/>
    <w:rsid w:val="00B34A16"/>
    <w:rsid w:val="00B8079D"/>
    <w:rsid w:val="00B84EC3"/>
    <w:rsid w:val="00B967CD"/>
    <w:rsid w:val="00BF1968"/>
    <w:rsid w:val="00D9355E"/>
    <w:rsid w:val="00DA4580"/>
    <w:rsid w:val="00DD6087"/>
    <w:rsid w:val="00E062CB"/>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5ECC7"/>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6773</Words>
  <Characters>37254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6</cp:revision>
  <dcterms:created xsi:type="dcterms:W3CDTF">2018-05-09T19:53:00Z</dcterms:created>
  <dcterms:modified xsi:type="dcterms:W3CDTF">2018-08-27T19:43:00Z</dcterms:modified>
</cp:coreProperties>
</file>