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A98" w:rsidRPr="00260B96" w:rsidRDefault="00B76A98" w:rsidP="00B76A98">
      <w:pPr>
        <w:spacing w:before="120" w:after="120"/>
        <w:ind w:left="3540" w:firstLine="708"/>
        <w:rPr>
          <w:rFonts w:ascii="Arial" w:hAnsi="Arial" w:cs="Arial"/>
          <w:b/>
          <w:sz w:val="21"/>
          <w:szCs w:val="21"/>
        </w:rPr>
      </w:pPr>
      <w:bookmarkStart w:id="0" w:name="_GoBack"/>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4729C3">
        <w:rPr>
          <w:rFonts w:ascii="Arial" w:hAnsi="Arial" w:cs="Arial"/>
          <w:b/>
          <w:sz w:val="20"/>
          <w:szCs w:val="20"/>
        </w:rPr>
        <w:t>OBRA</w:t>
      </w:r>
      <w:r w:rsidRPr="0052166F">
        <w:rPr>
          <w:rFonts w:ascii="Arial" w:hAnsi="Arial" w:cs="Arial"/>
          <w:b/>
          <w:sz w:val="20"/>
          <w:szCs w:val="20"/>
        </w:rPr>
        <w:t xml:space="preserve">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Servicio </w:t>
      </w:r>
      <w:r w:rsidRPr="00260B96">
        <w:rPr>
          <w:rFonts w:ascii="Arial" w:hAnsi="Arial" w:cs="Arial"/>
          <w:sz w:val="21"/>
          <w:szCs w:val="21"/>
        </w:rPr>
        <w:lastRenderedPageBreak/>
        <w:t>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w:t>
      </w:r>
      <w:r w:rsidR="00542C3F">
        <w:rPr>
          <w:rFonts w:ascii="Arial" w:hAnsi="Arial" w:cs="Arial"/>
          <w:sz w:val="21"/>
          <w:szCs w:val="21"/>
        </w:rPr>
        <w:t xml:space="preserve"> </w:t>
      </w:r>
      <w:r w:rsidRPr="00260B96">
        <w:rPr>
          <w:rFonts w:ascii="Arial" w:hAnsi="Arial" w:cs="Arial"/>
          <w:sz w:val="21"/>
          <w:szCs w:val="21"/>
        </w:rPr>
        <w:t>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542C3F">
        <w:rPr>
          <w:rFonts w:ascii="Arial" w:hAnsi="Arial" w:cs="Arial"/>
          <w:sz w:val="20"/>
          <w:szCs w:val="20"/>
        </w:rPr>
        <w:t>Bolivianos).</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w:t>
      </w:r>
      <w:r w:rsidRPr="00260B96">
        <w:rPr>
          <w:rFonts w:ascii="Arial" w:hAnsi="Arial" w:cs="Arial"/>
          <w:sz w:val="21"/>
          <w:szCs w:val="21"/>
          <w:lang w:val="es-BO"/>
        </w:rPr>
        <w:lastRenderedPageBreak/>
        <w:t xml:space="preserve">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542C3F">
      <w:pPr>
        <w:numPr>
          <w:ilvl w:val="0"/>
          <w:numId w:val="11"/>
        </w:numPr>
        <w:spacing w:before="120" w:after="120"/>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542C3F">
      <w:pPr>
        <w:numPr>
          <w:ilvl w:val="0"/>
          <w:numId w:val="11"/>
        </w:numPr>
        <w:spacing w:before="120" w:after="120"/>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542C3F">
      <w:pPr>
        <w:numPr>
          <w:ilvl w:val="0"/>
          <w:numId w:val="11"/>
        </w:numPr>
        <w:spacing w:before="120" w:after="120"/>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542C3F">
      <w:pPr>
        <w:numPr>
          <w:ilvl w:val="0"/>
          <w:numId w:val="11"/>
        </w:numPr>
        <w:spacing w:before="120" w:after="120"/>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542C3F">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lastRenderedPageBreak/>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en todas sus partes con la boleta de garantía de cumplimiento de contrato No. __________ emitida por _____________ en fecha ______________ a la orden de Yacimientos Petrolíferos Fiscales Bolivianos – YPFB por el monto de Bs</w:t>
      </w:r>
      <w:r w:rsidRPr="00260B96">
        <w:rPr>
          <w:rFonts w:ascii="Arial" w:hAnsi="Arial" w:cs="Arial"/>
          <w:i/>
          <w:sz w:val="21"/>
          <w:szCs w:val="21"/>
          <w:u w:val="single"/>
          <w:lang w:val="es-BO"/>
        </w:rPr>
        <w:t>numeral</w:t>
      </w:r>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542C3F">
      <w:pPr>
        <w:spacing w:before="120" w:after="120"/>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542C3F">
      <w:pPr>
        <w:spacing w:before="120" w:after="120"/>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542C3F">
      <w:pPr>
        <w:spacing w:before="120" w:after="120"/>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542C3F">
      <w:pPr>
        <w:spacing w:before="120" w:after="120"/>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lastRenderedPageBreak/>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 xml:space="preserve">=1,2,3…,𝑘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lastRenderedPageBreak/>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lastRenderedPageBreak/>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w:t>
      </w:r>
      <w:r w:rsidRPr="00260B96">
        <w:rPr>
          <w:rFonts w:ascii="Arial" w:hAnsi="Arial" w:cs="Arial"/>
          <w:sz w:val="21"/>
          <w:szCs w:val="21"/>
          <w:lang w:val="es-BO" w:eastAsia="en-US"/>
        </w:rPr>
        <w:lastRenderedPageBreak/>
        <w:t xml:space="preserve">segura, eficiente, lo cual incluye la protección y preservación del medio ambiente en conformidad 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542C3F">
      <w:pPr>
        <w:numPr>
          <w:ilvl w:val="3"/>
          <w:numId w:val="8"/>
        </w:numPr>
        <w:tabs>
          <w:tab w:val="clear" w:pos="2520"/>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542C3F">
      <w:pPr>
        <w:numPr>
          <w:ilvl w:val="3"/>
          <w:numId w:val="8"/>
        </w:numPr>
        <w:tabs>
          <w:tab w:val="clear" w:pos="2520"/>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542C3F">
      <w:pPr>
        <w:numPr>
          <w:ilvl w:val="3"/>
          <w:numId w:val="8"/>
        </w:numPr>
        <w:tabs>
          <w:tab w:val="clear" w:pos="2520"/>
          <w:tab w:val="num" w:pos="1134"/>
        </w:tabs>
        <w:spacing w:before="120" w:after="120"/>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542C3F">
      <w:pPr>
        <w:numPr>
          <w:ilvl w:val="3"/>
          <w:numId w:val="8"/>
        </w:numPr>
        <w:tabs>
          <w:tab w:val="clear" w:pos="2520"/>
          <w:tab w:val="num" w:pos="1134"/>
        </w:tabs>
        <w:spacing w:before="120" w:after="120"/>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542C3F">
      <w:pPr>
        <w:numPr>
          <w:ilvl w:val="3"/>
          <w:numId w:val="8"/>
        </w:numPr>
        <w:tabs>
          <w:tab w:val="clear" w:pos="2520"/>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542C3F">
      <w:pPr>
        <w:numPr>
          <w:ilvl w:val="3"/>
          <w:numId w:val="8"/>
        </w:numPr>
        <w:tabs>
          <w:tab w:val="clear" w:pos="2520"/>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lastRenderedPageBreak/>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aperturado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542C3F">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542C3F">
      <w:pPr>
        <w:numPr>
          <w:ilvl w:val="0"/>
          <w:numId w:val="9"/>
        </w:numPr>
        <w:tabs>
          <w:tab w:val="clear" w:pos="1068"/>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542C3F">
      <w:pPr>
        <w:numPr>
          <w:ilvl w:val="0"/>
          <w:numId w:val="9"/>
        </w:numPr>
        <w:tabs>
          <w:tab w:val="clear" w:pos="1068"/>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542C3F">
      <w:pPr>
        <w:numPr>
          <w:ilvl w:val="0"/>
          <w:numId w:val="9"/>
        </w:numPr>
        <w:tabs>
          <w:tab w:val="clear" w:pos="1068"/>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542C3F">
      <w:pPr>
        <w:numPr>
          <w:ilvl w:val="0"/>
          <w:numId w:val="9"/>
        </w:numPr>
        <w:tabs>
          <w:tab w:val="clear" w:pos="1068"/>
        </w:tabs>
        <w:spacing w:before="120" w:after="120"/>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542C3F">
      <w:pPr>
        <w:numPr>
          <w:ilvl w:val="0"/>
          <w:numId w:val="9"/>
        </w:numPr>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542C3F">
      <w:pPr>
        <w:tabs>
          <w:tab w:val="num" w:pos="1134"/>
        </w:tabs>
        <w:spacing w:before="120"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542C3F">
      <w:pPr>
        <w:numPr>
          <w:ilvl w:val="0"/>
          <w:numId w:val="10"/>
        </w:numPr>
        <w:tabs>
          <w:tab w:val="clear" w:pos="1352"/>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542C3F">
      <w:pPr>
        <w:numPr>
          <w:ilvl w:val="0"/>
          <w:numId w:val="10"/>
        </w:numPr>
        <w:tabs>
          <w:tab w:val="clear" w:pos="1352"/>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542C3F">
      <w:pPr>
        <w:numPr>
          <w:ilvl w:val="0"/>
          <w:numId w:val="10"/>
        </w:numPr>
        <w:tabs>
          <w:tab w:val="clear" w:pos="1352"/>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lastRenderedPageBreak/>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542C3F">
      <w:pPr>
        <w:numPr>
          <w:ilvl w:val="0"/>
          <w:numId w:val="10"/>
        </w:numPr>
        <w:tabs>
          <w:tab w:val="clear" w:pos="1352"/>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542C3F">
      <w:pPr>
        <w:numPr>
          <w:ilvl w:val="0"/>
          <w:numId w:val="10"/>
        </w:numPr>
        <w:tabs>
          <w:tab w:val="clear" w:pos="1352"/>
          <w:tab w:val="num" w:pos="1134"/>
        </w:tabs>
        <w:spacing w:before="120" w:after="120"/>
        <w:ind w:left="1135" w:hanging="284"/>
        <w:jc w:val="both"/>
        <w:rPr>
          <w:rFonts w:ascii="Arial" w:hAnsi="Arial" w:cs="Arial"/>
          <w:sz w:val="21"/>
          <w:szCs w:val="21"/>
          <w:lang w:val="es-BO"/>
        </w:rPr>
      </w:pPr>
      <w:r w:rsidRPr="00260B96">
        <w:rPr>
          <w:rFonts w:ascii="Arial" w:hAnsi="Arial" w:cs="Arial"/>
          <w:sz w:val="21"/>
          <w:szCs w:val="21"/>
          <w:lang w:val="es-BO"/>
        </w:rPr>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542C3F">
      <w:pPr>
        <w:tabs>
          <w:tab w:val="num" w:pos="1134"/>
        </w:tabs>
        <w:spacing w:before="120"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542C3F">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estacas u otros elementos que sirven de referencia planimétrica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cerciorarse personalmente en forma satisfactoria con respecto a la clase y volumen de </w:t>
      </w:r>
      <w:r w:rsidRPr="00260B96">
        <w:rPr>
          <w:rFonts w:ascii="Arial" w:hAnsi="Arial" w:cs="Arial"/>
          <w:spacing w:val="-3"/>
          <w:sz w:val="21"/>
          <w:szCs w:val="21"/>
          <w:lang w:val="es-BO"/>
        </w:rPr>
        <w:lastRenderedPageBreak/>
        <w:t>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w:t>
      </w:r>
      <w:r w:rsidRPr="00260B96">
        <w:rPr>
          <w:rFonts w:ascii="Arial" w:hAnsi="Arial" w:cs="Arial"/>
          <w:spacing w:val="-3"/>
          <w:sz w:val="21"/>
          <w:szCs w:val="21"/>
          <w:lang w:val="es-BO"/>
        </w:rPr>
        <w:lastRenderedPageBreak/>
        <w:t xml:space="preserve">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542C3F">
      <w:pPr>
        <w:pStyle w:val="Prrafodelista"/>
        <w:numPr>
          <w:ilvl w:val="0"/>
          <w:numId w:val="2"/>
        </w:numPr>
        <w:shd w:val="clear" w:color="auto" w:fill="FFFFFF"/>
        <w:tabs>
          <w:tab w:val="left" w:pos="426"/>
        </w:tabs>
        <w:spacing w:before="120"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542C3F">
      <w:pPr>
        <w:pStyle w:val="Prrafodelista"/>
        <w:numPr>
          <w:ilvl w:val="0"/>
          <w:numId w:val="2"/>
        </w:numPr>
        <w:shd w:val="clear" w:color="auto" w:fill="FFFFFF"/>
        <w:tabs>
          <w:tab w:val="left" w:pos="426"/>
        </w:tabs>
        <w:spacing w:before="120"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lastRenderedPageBreak/>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lastRenderedPageBreak/>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542C3F">
      <w:pPr>
        <w:numPr>
          <w:ilvl w:val="0"/>
          <w:numId w:val="14"/>
        </w:numPr>
        <w:tabs>
          <w:tab w:val="left" w:pos="1134"/>
        </w:tabs>
        <w:spacing w:before="120" w:after="120"/>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542C3F">
      <w:pPr>
        <w:numPr>
          <w:ilvl w:val="0"/>
          <w:numId w:val="14"/>
        </w:numPr>
        <w:tabs>
          <w:tab w:val="left" w:pos="1134"/>
        </w:tabs>
        <w:spacing w:before="120" w:after="120"/>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542C3F">
      <w:pPr>
        <w:numPr>
          <w:ilvl w:val="0"/>
          <w:numId w:val="14"/>
        </w:numPr>
        <w:tabs>
          <w:tab w:val="left" w:pos="1134"/>
        </w:tabs>
        <w:spacing w:before="120"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lastRenderedPageBreak/>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xml:space="preserve">, pretenda efectuar aumento o disminución en las cantidades de Obra </w:t>
      </w:r>
      <w:r w:rsidRPr="00260B96">
        <w:rPr>
          <w:rFonts w:ascii="Arial" w:hAnsi="Arial" w:cs="Arial"/>
          <w:sz w:val="21"/>
          <w:szCs w:val="21"/>
          <w:lang w:val="es-BO"/>
        </w:rPr>
        <w:lastRenderedPageBreak/>
        <w:t>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00542C3F">
        <w:rPr>
          <w:rFonts w:ascii="Arial" w:hAnsi="Arial" w:cs="Arial"/>
          <w:b/>
          <w:color w:val="000000"/>
          <w:sz w:val="21"/>
          <w:szCs w:val="21"/>
        </w:rPr>
        <w:t xml:space="preserv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lastRenderedPageBreak/>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lastRenderedPageBreak/>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w:t>
      </w:r>
      <w:r w:rsidRPr="00260B96">
        <w:rPr>
          <w:rFonts w:ascii="Arial" w:eastAsia="Calibri" w:hAnsi="Arial" w:cs="Arial"/>
          <w:color w:val="000000"/>
          <w:sz w:val="21"/>
          <w:szCs w:val="21"/>
          <w:lang w:val="es-BO" w:eastAsia="en-US"/>
        </w:rPr>
        <w:lastRenderedPageBreak/>
        <w:t>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lastRenderedPageBreak/>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 xml:space="preserve">inciso o disposición del Contrato no afectará la validez o ejecutabilidad de cualquier otra cláusula, </w:t>
      </w:r>
      <w:r w:rsidRPr="00260B96">
        <w:rPr>
          <w:rFonts w:ascii="Arial" w:hAnsi="Arial" w:cs="Arial"/>
          <w:color w:val="000000"/>
          <w:sz w:val="21"/>
          <w:szCs w:val="21"/>
          <w:lang w:val="es-BO"/>
        </w:rPr>
        <w:lastRenderedPageBreak/>
        <w:t>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bookmarkEnd w:id="0"/>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7"/>
      <w:headerReference w:type="default" r:id="rId8"/>
      <w:footerReference w:type="even" r:id="rId9"/>
      <w:footerReference w:type="default" r:id="rId10"/>
      <w:headerReference w:type="first" r:id="rId11"/>
      <w:footerReference w:type="first" r:id="rId12"/>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F4A" w:rsidRDefault="00C16F4A" w:rsidP="00EC7474">
      <w:r>
        <w:separator/>
      </w:r>
    </w:p>
  </w:endnote>
  <w:endnote w:type="continuationSeparator" w:id="0">
    <w:p w:rsidR="00C16F4A" w:rsidRDefault="00C16F4A"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UI"/>
    <w:panose1 w:val="020B0500000000000000"/>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altName w:val="Arial"/>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7A300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4729C3">
              <w:rPr>
                <w:rFonts w:ascii="Arial" w:hAnsi="Arial" w:cs="Arial"/>
                <w:b/>
                <w:bCs/>
                <w:noProof/>
                <w:sz w:val="14"/>
                <w:szCs w:val="14"/>
              </w:rPr>
              <w:t>1</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4729C3">
              <w:rPr>
                <w:rFonts w:ascii="Arial" w:hAnsi="Arial" w:cs="Arial"/>
                <w:b/>
                <w:bCs/>
                <w:noProof/>
                <w:sz w:val="14"/>
                <w:szCs w:val="14"/>
              </w:rPr>
              <w:t>26</w:t>
            </w:r>
            <w:r w:rsidR="00632A9C" w:rsidRPr="005626DC">
              <w:rPr>
                <w:rFonts w:ascii="Arial" w:hAnsi="Arial" w:cs="Arial"/>
                <w:b/>
                <w:bCs/>
                <w:sz w:val="14"/>
                <w:szCs w:val="14"/>
              </w:rPr>
              <w:fldChar w:fldCharType="end"/>
            </w:r>
          </w:p>
          <w:p w:rsidR="007A3001" w:rsidRDefault="00C16F4A">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7A300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F4A" w:rsidRDefault="00C16F4A" w:rsidP="00EC7474">
      <w:r>
        <w:separator/>
      </w:r>
    </w:p>
  </w:footnote>
  <w:footnote w:type="continuationSeparator" w:id="0">
    <w:p w:rsidR="00C16F4A" w:rsidRDefault="00C16F4A" w:rsidP="00EC747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C16F4A">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C16F4A">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3001" w:rsidRDefault="00C16F4A">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15:restartNumberingAfterBreak="0">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15:restartNumberingAfterBreak="0">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15:restartNumberingAfterBreak="0">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15:restartNumberingAfterBreak="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15:restartNumberingAfterBreak="0">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15:restartNumberingAfterBreak="0">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15:restartNumberingAfterBreak="0">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15:restartNumberingAfterBreak="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15:restartNumberingAfterBreak="0">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15:restartNumberingAfterBreak="0">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15:restartNumberingAfterBreak="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15:restartNumberingAfterBreak="0">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15:restartNumberingAfterBreak="0">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15:restartNumberingAfterBreak="0">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15:restartNumberingAfterBreak="0">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B32B0"/>
    <w:rsid w:val="001F4CEE"/>
    <w:rsid w:val="00240736"/>
    <w:rsid w:val="00254692"/>
    <w:rsid w:val="0025516A"/>
    <w:rsid w:val="00260B96"/>
    <w:rsid w:val="002E4A4C"/>
    <w:rsid w:val="003E1B4D"/>
    <w:rsid w:val="004242D5"/>
    <w:rsid w:val="004729C3"/>
    <w:rsid w:val="004C7111"/>
    <w:rsid w:val="00542C3F"/>
    <w:rsid w:val="005626DC"/>
    <w:rsid w:val="005C0B9F"/>
    <w:rsid w:val="005E6B88"/>
    <w:rsid w:val="005F01FD"/>
    <w:rsid w:val="00632A9C"/>
    <w:rsid w:val="007A3001"/>
    <w:rsid w:val="0081226F"/>
    <w:rsid w:val="008A7066"/>
    <w:rsid w:val="00913829"/>
    <w:rsid w:val="00965166"/>
    <w:rsid w:val="00A748C1"/>
    <w:rsid w:val="00AA1C19"/>
    <w:rsid w:val="00B76A98"/>
    <w:rsid w:val="00B844C8"/>
    <w:rsid w:val="00C02C2C"/>
    <w:rsid w:val="00C16F4A"/>
    <w:rsid w:val="00C2282B"/>
    <w:rsid w:val="00CA0A24"/>
    <w:rsid w:val="00CA352D"/>
    <w:rsid w:val="00CB2ACA"/>
    <w:rsid w:val="00CC0CF4"/>
    <w:rsid w:val="00CE40CC"/>
    <w:rsid w:val="00EC7474"/>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4:docId w14:val="6B289F48"/>
  <w15:docId w15:val="{92AED668-C425-4CFE-AA2A-A813ECD76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Descripcin">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14341</Words>
  <Characters>78880</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2</cp:revision>
  <cp:lastPrinted>2015-09-03T19:26:00Z</cp:lastPrinted>
  <dcterms:created xsi:type="dcterms:W3CDTF">2018-10-11T22:03:00Z</dcterms:created>
  <dcterms:modified xsi:type="dcterms:W3CDTF">2018-10-11T22:03:00Z</dcterms:modified>
</cp:coreProperties>
</file>