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5B6F1" w14:textId="5A72206D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5927D8FF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68BC973C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2602D6E7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F9258F0" w14:textId="77777777" w:rsidR="008870D2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543"/>
        <w:gridCol w:w="3119"/>
      </w:tblGrid>
      <w:tr w:rsidR="00BB7839" w:rsidRPr="00BB7839" w14:paraId="5D744684" w14:textId="77777777" w:rsidTr="00BB7839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684295A8" w14:textId="191425FF" w:rsidR="00BB7839" w:rsidRPr="00BB7839" w:rsidRDefault="00BB7839" w:rsidP="00852EF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BO"/>
              </w:rPr>
              <w:t xml:space="preserve">UBICACIÓN </w:t>
            </w:r>
            <w:r w:rsidR="00852EF9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BO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BO"/>
              </w:rPr>
              <w:t xml:space="preserve"> </w:t>
            </w:r>
            <w:r w:rsidRPr="00BB7839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BO"/>
              </w:rPr>
              <w:t>RECTIFICADORES</w:t>
            </w:r>
          </w:p>
        </w:tc>
      </w:tr>
      <w:tr w:rsidR="00BB7839" w:rsidRPr="00BB7839" w14:paraId="128BAAAE" w14:textId="77777777" w:rsidTr="00BB783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50C212CA" w14:textId="77777777" w:rsidR="00BB7839" w:rsidRPr="00BB7839" w:rsidRDefault="00BB7839" w:rsidP="00BB7839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FFFFFF"/>
                <w:sz w:val="20"/>
                <w:szCs w:val="20"/>
                <w:lang w:eastAsia="es-BO"/>
              </w:rPr>
              <w:t>RECTIFICADOR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4057AB3F" w14:textId="3AA148D7" w:rsidR="00BB7839" w:rsidRPr="00BB7839" w:rsidRDefault="00852EF9" w:rsidP="00BB7839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  <w:szCs w:val="20"/>
                <w:lang w:eastAsia="es-BO"/>
              </w:rPr>
              <w:t>DIRECCION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7E515DE2" w14:textId="77777777" w:rsidR="00BB7839" w:rsidRPr="00BB7839" w:rsidRDefault="00BB7839" w:rsidP="00BB7839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FFFFFF"/>
                <w:sz w:val="20"/>
                <w:szCs w:val="20"/>
                <w:lang w:eastAsia="es-BO"/>
              </w:rPr>
              <w:t>GEOREFERENCIACIÓN</w:t>
            </w:r>
          </w:p>
        </w:tc>
      </w:tr>
      <w:tr w:rsidR="00BB7839" w:rsidRPr="00BB7839" w14:paraId="7FAE22FB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8731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SUTICOLLO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1C32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Suticollo - Lado tranca vehicular de suticollo.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893F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-17.469695   Longitud: -66.337224</w:t>
            </w:r>
          </w:p>
        </w:tc>
      </w:tr>
      <w:tr w:rsidR="00BB7839" w:rsidRPr="00BB7839" w14:paraId="3FC19B46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E301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SETON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85E4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Al lado de Caja Nacional de Salud SETON.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3E37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-17.393396   Longitud: -66.203243</w:t>
            </w:r>
          </w:p>
        </w:tc>
      </w:tr>
      <w:tr w:rsidR="00BB7839" w:rsidRPr="00BB7839" w14:paraId="05C9161A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975D" w14:textId="7F937F9D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SERVICIO NACIONAL DE CAMINOS</w:t>
            </w:r>
            <w:r w:rsidR="002834A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 xml:space="preserve"> (SNC)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707A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Av. Circunvalación - Servicio Nacional de Caminos.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B9CF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-17.375008   Longitud: -66.127118</w:t>
            </w:r>
          </w:p>
        </w:tc>
      </w:tr>
      <w:tr w:rsidR="00BB7839" w:rsidRPr="00BB7839" w14:paraId="2EBAFB9D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A1CA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VALLE HERMOSO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7AA7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Valle Hermoso - Detrás - Detrás de YPFB.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4251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-17.446845   Longitud: -66.118724</w:t>
            </w:r>
          </w:p>
        </w:tc>
      </w:tr>
      <w:tr w:rsidR="00BB7839" w:rsidRPr="00BB7839" w14:paraId="6B65549D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75DF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PUNATA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E2EC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Municipio de Punata, camino a Villa Rivero.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5BB1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-17.577816    Longitud: -65.825659</w:t>
            </w:r>
          </w:p>
        </w:tc>
      </w:tr>
      <w:tr w:rsidR="00BB7839" w:rsidRPr="00BB7839" w14:paraId="49F1B677" w14:textId="77777777" w:rsidTr="0038783B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F788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CLIZA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F6D9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Municipio de Cliza, Carretera entrada a Cliza Av. Monseñor Rosales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9F86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-17.571254    Longitud: -65.935018</w:t>
            </w:r>
          </w:p>
        </w:tc>
      </w:tr>
      <w:tr w:rsidR="00BB7839" w:rsidRPr="00BB7839" w14:paraId="5DAA45A2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C474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SANTIVAÑEZ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6C15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Municipio de Santiváñez, lado colegio Cristo Rey.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896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-17.548313   Longitud: -66.247682</w:t>
            </w:r>
          </w:p>
        </w:tc>
      </w:tr>
      <w:tr w:rsidR="00BB7839" w:rsidRPr="00BB7839" w14:paraId="5F1928FF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38F5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HUAYLLANI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03E5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Zona Huayllani, lado fabrica Faboce.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2974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-17.392866  Longitud: -66.072885</w:t>
            </w:r>
          </w:p>
        </w:tc>
      </w:tr>
      <w:tr w:rsidR="00BB7839" w:rsidRPr="00BB7839" w14:paraId="50CFDD81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A12A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ZOFRACO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C2FE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Zona Albarrancho, lado colegio vecinal Albarrancho.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51FC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Latitud: -17.442442   Longitud: -66.228973</w:t>
            </w:r>
          </w:p>
        </w:tc>
      </w:tr>
      <w:tr w:rsidR="00BB7839" w:rsidRPr="00BB7839" w14:paraId="11E2B07F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771A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CHAMPARRANCHO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071A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Zona Champarrancho,  Av. Panamericana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1E13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Latitud: -17.439127    Longitud:-66.163565</w:t>
            </w:r>
          </w:p>
        </w:tc>
      </w:tr>
      <w:tr w:rsidR="00BB7839" w:rsidRPr="00BB7839" w14:paraId="61B223C9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B9B3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CIRCUNVALACION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DF64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Calle Beni, Zona Tiquipaya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F797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Latitud: -17.333215    Longitud: -66.218301</w:t>
            </w:r>
          </w:p>
        </w:tc>
      </w:tr>
      <w:tr w:rsidR="00BB7839" w:rsidRPr="00BB7839" w14:paraId="2583B1D5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BE40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PLAYA ANCHA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43C4" w14:textId="28B74A10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Zona Playa Ancha</w:t>
            </w:r>
            <w:r w:rsidR="00A1144B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, Municipio de Capinota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779D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Latitud: -17.653030   Longitud:-66.241965</w:t>
            </w:r>
          </w:p>
        </w:tc>
      </w:tr>
      <w:tr w:rsidR="00BB7839" w:rsidRPr="00BB7839" w14:paraId="36942FB0" w14:textId="77777777" w:rsidTr="0038783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EC27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VILLA TUNARI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81B6" w14:textId="572B06F8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Zona San Miguel</w:t>
            </w:r>
            <w:r w:rsidR="00A1144B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, Municipio de Villa Tunari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1263" w14:textId="77777777" w:rsidR="00BB7839" w:rsidRPr="00BB7839" w:rsidRDefault="00BB7839" w:rsidP="00BB78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</w:pPr>
            <w:r w:rsidRPr="00BB7839">
              <w:rPr>
                <w:rFonts w:asciiTheme="minorHAnsi" w:hAnsiTheme="minorHAnsi" w:cstheme="minorHAnsi"/>
                <w:color w:val="000000"/>
                <w:sz w:val="20"/>
                <w:szCs w:val="20"/>
                <w:lang w:val="es-BO" w:eastAsia="es-BO"/>
              </w:rPr>
              <w:t>Latitud: -16.920372   Longitud:-65.376712</w:t>
            </w:r>
          </w:p>
        </w:tc>
      </w:tr>
    </w:tbl>
    <w:p w14:paraId="5B82E28D" w14:textId="77777777" w:rsidR="00BB7839" w:rsidRDefault="00BB7839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09D67DE2" w14:textId="77777777" w:rsidR="00DB5727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2612B2D1" w14:textId="77777777" w:rsidR="009A7B4B" w:rsidRPr="00622011" w:rsidRDefault="009A7B4B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839"/>
        <w:gridCol w:w="3073"/>
      </w:tblGrid>
      <w:tr w:rsidR="00DB5727" w:rsidRPr="007557DB" w14:paraId="3CC3620D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2E95740D" w14:textId="37E6DAF3" w:rsidR="00DB5727" w:rsidRPr="00622011" w:rsidRDefault="009A7B4B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975D8B">
              <w:rPr>
                <w:rFonts w:asciiTheme="minorHAnsi" w:hAnsiTheme="minorHAnsi" w:cstheme="minorHAnsi"/>
                <w:b/>
                <w:sz w:val="18"/>
                <w:szCs w:val="18"/>
              </w:rPr>
              <w:t>MANTENIMIENTO DE PROTECCIÓN CATODICA</w:t>
            </w:r>
          </w:p>
        </w:tc>
        <w:tc>
          <w:tcPr>
            <w:tcW w:w="1724" w:type="pct"/>
            <w:vAlign w:val="center"/>
          </w:tcPr>
          <w:p w14:paraId="3691DCB5" w14:textId="41319D63" w:rsidR="00DB5727" w:rsidRPr="00622011" w:rsidRDefault="009A7B4B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30</w:t>
            </w:r>
          </w:p>
        </w:tc>
      </w:tr>
    </w:tbl>
    <w:p w14:paraId="119120EA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7A868AF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62C4B37A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F26281D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20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65DD9D60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01EB589A" w14:textId="77777777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3CB2AE90" w14:textId="77777777" w:rsidR="00230B9B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9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6609"/>
        <w:gridCol w:w="978"/>
        <w:gridCol w:w="1891"/>
      </w:tblGrid>
      <w:tr w:rsidR="00724671" w:rsidRPr="00724671" w14:paraId="701798D2" w14:textId="77777777" w:rsidTr="00724671">
        <w:trPr>
          <w:trHeight w:val="243"/>
          <w:jc w:val="center"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1EE2710C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OBRAS CIVILES</w:t>
            </w:r>
          </w:p>
        </w:tc>
      </w:tr>
      <w:tr w:rsidR="00724671" w:rsidRPr="00724671" w14:paraId="448CF08F" w14:textId="77777777" w:rsidTr="00724671">
        <w:trPr>
          <w:trHeight w:val="243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544EAAB9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68F84D8D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 xml:space="preserve">DESCRIPCION DEL ÍTEM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18C40BF7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UNID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340BD23B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724671" w:rsidRPr="00724671" w14:paraId="576C50D7" w14:textId="77777777" w:rsidTr="00F80C7B">
        <w:trPr>
          <w:trHeight w:val="486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7098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5E77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Movilización y Desmovilización de Equipo, Material, Herramientas y Personal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071F" w14:textId="62361122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Glb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0EE6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  <w:tr w:rsidR="00724671" w:rsidRPr="00724671" w14:paraId="34120E8B" w14:textId="77777777" w:rsidTr="00F80C7B">
        <w:trPr>
          <w:trHeight w:val="243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264A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CB15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Excavación de Zanja Terreno Semi Duro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DB8A" w14:textId="6868EF80" w:rsidR="00724671" w:rsidRPr="00970691" w:rsidRDefault="00970691" w:rsidP="009706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2129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7.5</w:t>
            </w:r>
          </w:p>
        </w:tc>
      </w:tr>
      <w:tr w:rsidR="00724671" w:rsidRPr="00724671" w14:paraId="18EBABB8" w14:textId="77777777" w:rsidTr="00F80C7B">
        <w:trPr>
          <w:trHeight w:val="486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AC82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3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D20B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Relleno y Compactado de Zanja con Material Fino (Con Provisión)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A92A" w14:textId="27455745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A0CD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  <w:tr w:rsidR="00724671" w:rsidRPr="00724671" w14:paraId="25BBC94D" w14:textId="77777777" w:rsidTr="00F80C7B">
        <w:trPr>
          <w:trHeight w:val="243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841E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4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3750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Relleno y Compactado de Zanja con Tierrra Comun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A553" w14:textId="51A22963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0989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6.5</w:t>
            </w:r>
          </w:p>
        </w:tc>
      </w:tr>
    </w:tbl>
    <w:p w14:paraId="52F67AD8" w14:textId="77777777" w:rsidR="00B93F11" w:rsidRDefault="00B93F11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662"/>
        <w:gridCol w:w="992"/>
        <w:gridCol w:w="1843"/>
      </w:tblGrid>
      <w:tr w:rsidR="00724671" w:rsidRPr="00724671" w14:paraId="6181B758" w14:textId="77777777" w:rsidTr="00724671">
        <w:trPr>
          <w:trHeight w:val="570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3073B208" w14:textId="0ECBCC03" w:rsidR="00724671" w:rsidRPr="00724671" w:rsidRDefault="00BA2E0C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OBRAS ELECTRICAS</w:t>
            </w:r>
          </w:p>
        </w:tc>
      </w:tr>
      <w:tr w:rsidR="00724671" w:rsidRPr="00724671" w14:paraId="5CAA7F14" w14:textId="77777777" w:rsidTr="0011357A">
        <w:trPr>
          <w:trHeight w:val="5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48638E06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2E4C5AF7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 xml:space="preserve">DESCRIPCION DEL ÍTEM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424A86F4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UNID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40281495" w14:textId="77777777" w:rsidR="00724671" w:rsidRPr="00724671" w:rsidRDefault="00724671" w:rsidP="007246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2467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F80C7B" w:rsidRPr="00724671" w14:paraId="3F51543A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1223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8376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Fusible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08EE" w14:textId="7791F717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5BBD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5</w:t>
            </w:r>
          </w:p>
        </w:tc>
      </w:tr>
      <w:tr w:rsidR="00F80C7B" w:rsidRPr="00724671" w14:paraId="681449A1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047F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E444C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porta fusible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C803" w14:textId="648C2F7A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F8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  <w:tr w:rsidR="00F80C7B" w:rsidRPr="00724671" w14:paraId="292CC225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8AB7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7788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Resistor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695B" w14:textId="17714937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B6CE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20</w:t>
            </w:r>
          </w:p>
        </w:tc>
      </w:tr>
      <w:tr w:rsidR="00F80C7B" w:rsidRPr="00724671" w14:paraId="42A822CD" w14:textId="77777777" w:rsidTr="0011357A">
        <w:trPr>
          <w:trHeight w:val="5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DFF5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7DAA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Condensador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BD6C" w14:textId="0FB8F3C8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A9D6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20</w:t>
            </w:r>
          </w:p>
        </w:tc>
      </w:tr>
      <w:tr w:rsidR="00F80C7B" w:rsidRPr="00724671" w14:paraId="7C904B1B" w14:textId="77777777" w:rsidTr="0011357A">
        <w:trPr>
          <w:trHeight w:val="5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E4D2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17AB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Diodo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CA9F" w14:textId="01A69AC9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04E3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20</w:t>
            </w:r>
          </w:p>
        </w:tc>
      </w:tr>
      <w:tr w:rsidR="00F80C7B" w:rsidRPr="00724671" w14:paraId="4AACF89A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586C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0CC3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transformador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7366" w14:textId="038C6E25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F2BD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  <w:tr w:rsidR="00F80C7B" w:rsidRPr="00724671" w14:paraId="0FBD81D7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11C5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AD00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Arrester de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AB32" w14:textId="2F51A379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80F7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10</w:t>
            </w:r>
          </w:p>
        </w:tc>
      </w:tr>
      <w:tr w:rsidR="00F80C7B" w:rsidRPr="00724671" w14:paraId="7022F709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BD30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E176" w14:textId="6306E788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Cambio de </w:t>
            </w: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Térmico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2BA2" w14:textId="18580B33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AF6E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</w:p>
        </w:tc>
      </w:tr>
      <w:tr w:rsidR="00F80C7B" w:rsidRPr="00724671" w14:paraId="54DFAF03" w14:textId="77777777" w:rsidTr="006C7F3B">
        <w:trPr>
          <w:trHeight w:val="29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F994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460F" w14:textId="77777777" w:rsidR="00724671" w:rsidRPr="00724671" w:rsidRDefault="00724671" w:rsidP="006C7F3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cable con recubrimiento de alto peso molecular (HWMPE)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7621" w14:textId="6147CEAD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B12B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10</w:t>
            </w:r>
          </w:p>
        </w:tc>
      </w:tr>
      <w:tr w:rsidR="00F80C7B" w:rsidRPr="00724671" w14:paraId="5AC36D16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F19D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E09D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Cambio de Politubo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B2F0" w14:textId="522BA5AF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7B1B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10</w:t>
            </w:r>
          </w:p>
        </w:tc>
      </w:tr>
      <w:tr w:rsidR="00F80C7B" w:rsidRPr="00724671" w14:paraId="61807C15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BA43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6AF1" w14:textId="5F8B3C6E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Cambio de Bornes de Conexión </w:t>
            </w: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Eléctrica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67C8" w14:textId="65177D81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4164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26</w:t>
            </w:r>
          </w:p>
        </w:tc>
      </w:tr>
      <w:tr w:rsidR="00F80C7B" w:rsidRPr="00724671" w14:paraId="4F9D41AE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1AE8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F1A0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Mantenimiento Preventivo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5B93" w14:textId="37079ED2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BEB8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13</w:t>
            </w:r>
          </w:p>
        </w:tc>
      </w:tr>
      <w:tr w:rsidR="00F80C7B" w:rsidRPr="00724671" w14:paraId="1846DF23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89D3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552B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Viñeteado del Rectificador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3394" w14:textId="44D05D79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9041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11</w:t>
            </w:r>
          </w:p>
        </w:tc>
      </w:tr>
      <w:tr w:rsidR="00F80C7B" w:rsidRPr="00724671" w14:paraId="26073CB7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0D2A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0116" w14:textId="18ACFBDF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Elaboración</w:t>
            </w: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de Planos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9A81" w14:textId="4B053968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Glb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4E30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  <w:tr w:rsidR="00F80C7B" w:rsidRPr="00724671" w14:paraId="0E3A0749" w14:textId="77777777" w:rsidTr="0011357A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F193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DF9" w14:textId="21F9E5C3" w:rsidR="00724671" w:rsidRPr="00724671" w:rsidRDefault="00F80C7B" w:rsidP="00F80C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Elaboración</w:t>
            </w:r>
            <w:r w:rsidR="00724671"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de Data 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B71D" w14:textId="75A8FEDD" w:rsidR="00724671" w:rsidRPr="00724671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Glb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E76" w14:textId="77777777" w:rsidR="00724671" w:rsidRPr="00724671" w:rsidRDefault="0072467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2467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</w:p>
        </w:tc>
      </w:tr>
    </w:tbl>
    <w:p w14:paraId="23A67EB6" w14:textId="77777777" w:rsidR="00B93F11" w:rsidRDefault="00B93F11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4557DE9D" w14:textId="77777777" w:rsidR="00B93F11" w:rsidRDefault="00B93F11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100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688"/>
        <w:gridCol w:w="989"/>
        <w:gridCol w:w="1914"/>
      </w:tblGrid>
      <w:tr w:rsidR="00F80C7B" w:rsidRPr="00F80C7B" w14:paraId="12BD4E62" w14:textId="77777777" w:rsidTr="00F80C7B">
        <w:trPr>
          <w:trHeight w:val="256"/>
          <w:jc w:val="center"/>
        </w:trPr>
        <w:tc>
          <w:tcPr>
            <w:tcW w:w="10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0BAD4F06" w14:textId="77777777" w:rsidR="00F80C7B" w:rsidRPr="00F80C7B" w:rsidRDefault="00F80C7B" w:rsidP="00F80C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80C7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PROVISIÓN DE MATERIALES</w:t>
            </w:r>
          </w:p>
        </w:tc>
      </w:tr>
      <w:tr w:rsidR="00F80C7B" w:rsidRPr="00F80C7B" w14:paraId="7E474F88" w14:textId="77777777" w:rsidTr="00F80C7B">
        <w:trPr>
          <w:trHeight w:val="25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0374B7BC" w14:textId="77777777" w:rsidR="00F80C7B" w:rsidRPr="00F80C7B" w:rsidRDefault="00F80C7B" w:rsidP="00F80C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80C7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2FB94844" w14:textId="77777777" w:rsidR="00F80C7B" w:rsidRPr="00F80C7B" w:rsidRDefault="00F80C7B" w:rsidP="00F80C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80C7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 xml:space="preserve">DESCRIPCION DEL ÍTEM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72162F8B" w14:textId="77777777" w:rsidR="00F80C7B" w:rsidRPr="00F80C7B" w:rsidRDefault="00F80C7B" w:rsidP="00F80C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80C7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UNID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582AD557" w14:textId="77777777" w:rsidR="00F80C7B" w:rsidRPr="00F80C7B" w:rsidRDefault="00F80C7B" w:rsidP="00F80C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80C7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F80C7B" w:rsidRPr="00F80C7B" w14:paraId="74CD5919" w14:textId="77777777" w:rsidTr="00F80C7B">
        <w:trPr>
          <w:trHeight w:val="25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07F3" w14:textId="77777777" w:rsidR="00F80C7B" w:rsidRPr="00F80C7B" w:rsidRDefault="00F80C7B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20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AC5A" w14:textId="77777777" w:rsidR="00F80C7B" w:rsidRPr="00F80C7B" w:rsidRDefault="00F80C7B" w:rsidP="00F80C7B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F80C7B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Electrodo de Referencia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BF94" w14:textId="77AA0243" w:rsidR="00F80C7B" w:rsidRPr="00F80C7B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642A" w14:textId="77777777" w:rsidR="00F80C7B" w:rsidRPr="00F80C7B" w:rsidRDefault="00F80C7B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</w:p>
        </w:tc>
      </w:tr>
      <w:tr w:rsidR="00F80C7B" w:rsidRPr="00F80C7B" w14:paraId="4D3C244D" w14:textId="77777777" w:rsidTr="00F80C7B">
        <w:trPr>
          <w:trHeight w:val="25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1CFB" w14:textId="77777777" w:rsidR="00F80C7B" w:rsidRPr="00F80C7B" w:rsidRDefault="00F80C7B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7744" w14:textId="4228DF12" w:rsidR="00F80C7B" w:rsidRPr="00F80C7B" w:rsidRDefault="00F80C7B" w:rsidP="00F80C7B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F80C7B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Gabinete  </w:t>
            </w:r>
            <w:r w:rsidR="0011357A" w:rsidRPr="00F80C7B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metálico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3A61" w14:textId="520EEFF8" w:rsidR="00F80C7B" w:rsidRPr="00F80C7B" w:rsidRDefault="00970691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Pza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6A71" w14:textId="77777777" w:rsidR="00F80C7B" w:rsidRPr="00F80C7B" w:rsidRDefault="00F80C7B" w:rsidP="00F80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80C7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</w:p>
        </w:tc>
      </w:tr>
    </w:tbl>
    <w:p w14:paraId="0AF03AB1" w14:textId="77777777" w:rsidR="00F80C7B" w:rsidRDefault="00F80C7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68F0045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70A113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61AF4347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068FB706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526D0E5C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CCCCD91" w14:textId="77777777" w:rsidR="00230B9B" w:rsidRPr="009E20B4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875"/>
        <w:gridCol w:w="2198"/>
        <w:gridCol w:w="2204"/>
      </w:tblGrid>
      <w:tr w:rsidR="00230B9B" w:rsidRPr="008D6BD3" w14:paraId="7BDF91D8" w14:textId="77777777" w:rsidTr="008D6BD3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594B6B44" w14:textId="77777777" w:rsidTr="008D6BD3">
        <w:trPr>
          <w:trHeight w:val="135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4AEB18DC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4F646389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1EB18114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3D5EEA2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D494A21" w14:textId="6AA4C322" w:rsidR="00AE38DD" w:rsidRPr="008D6BD3" w:rsidRDefault="00007EA7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Multímetro Digital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FADD922" w14:textId="3DC1260A" w:rsidR="00AE38DD" w:rsidRPr="008D6BD3" w:rsidRDefault="00E75A0F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B6FE503" w14:textId="52EAC059" w:rsidR="00AE38DD" w:rsidRPr="008D6BD3" w:rsidRDefault="004F1D96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Pza</w:t>
            </w:r>
          </w:p>
        </w:tc>
      </w:tr>
      <w:tr w:rsidR="00AE38DD" w:rsidRPr="008D6BD3" w14:paraId="06B34C6A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1AB19F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03DB8D0C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007E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Pinza Amperimetrica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2BF47285" w:rsidR="00AE38DD" w:rsidRPr="000653F3" w:rsidRDefault="00007EA7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340A3580" w14:textId="0023C108" w:rsidR="00AE38DD" w:rsidRPr="008D6BD3" w:rsidRDefault="004F1D96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Pza</w:t>
            </w:r>
          </w:p>
        </w:tc>
      </w:tr>
      <w:tr w:rsidR="00AE38DD" w:rsidRPr="008D6BD3" w14:paraId="43B575B6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27873AF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9EE52B4" w14:textId="0243D7E8" w:rsidR="00007EA7" w:rsidRPr="00007EA7" w:rsidRDefault="00AE38DD" w:rsidP="003E6FC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3E6FC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Equipo </w:t>
            </w:r>
            <w:r w:rsidR="00007E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de Soldadura Cadwell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5BDA1A67" w:rsidR="00AE38DD" w:rsidRPr="000653F3" w:rsidRDefault="000653F3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653F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957ADDB" w14:textId="007F70E8" w:rsidR="00AE38DD" w:rsidRPr="008D6BD3" w:rsidRDefault="003E6FC1" w:rsidP="004F1D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</w:t>
            </w:r>
            <w:r w:rsidR="004F1D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quipo</w:t>
            </w:r>
          </w:p>
        </w:tc>
      </w:tr>
      <w:tr w:rsidR="00AE38DD" w:rsidRPr="008D6BD3" w14:paraId="4EAB35C5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2371A814" w14:textId="73E8A99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A49BC63" w14:textId="0EBD4587" w:rsidR="00AE38DD" w:rsidRPr="008D6BD3" w:rsidRDefault="00AE38DD" w:rsidP="003E6FC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3E6FC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  <w:r w:rsidR="00007EA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de soldadura para estaño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59CD19D9" w14:textId="5933C333" w:rsidR="00AE38DD" w:rsidRPr="000653F3" w:rsidRDefault="000653F3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653F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2C658BA6" w14:textId="295A5424" w:rsidR="00AE38DD" w:rsidRPr="008D6BD3" w:rsidRDefault="004F1D96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72062556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193AB7F0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CAF1ED7" w14:textId="21CDA9BA" w:rsidR="00AE38DD" w:rsidRPr="000653F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0653F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Electrodo</w:t>
            </w:r>
            <w:r w:rsidR="000653F3" w:rsidRPr="000653F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de referencia de cobre sulfato de cobre</w:t>
            </w:r>
            <w:r w:rsidR="007F7F3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(</w:t>
            </w:r>
            <w:r w:rsidR="007F7F3A" w:rsidRPr="007F7F3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Cu/CuSO4)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53F2832" w14:textId="31D456F1" w:rsidR="00AE38DD" w:rsidRPr="000653F3" w:rsidRDefault="000653F3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653F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2F5FD60" w14:textId="75DFA20D" w:rsidR="00AE38DD" w:rsidRPr="008D6BD3" w:rsidRDefault="004F1D96" w:rsidP="000653F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Pza</w:t>
            </w:r>
          </w:p>
        </w:tc>
      </w:tr>
      <w:tr w:rsidR="00AE38DD" w:rsidRPr="008D6BD3" w14:paraId="11B78EEF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70D34FCC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5A9332D" w14:textId="24070372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E75A0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Vehículo 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71D3F1A" w14:textId="3C1BEFC6" w:rsidR="00AE38DD" w:rsidRPr="008D6BD3" w:rsidRDefault="00E75A0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  <w:r w:rsidR="00AE38DD"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380ACF18" w14:textId="2A0FC086" w:rsidR="00AE38DD" w:rsidRPr="008D6BD3" w:rsidRDefault="004F1D96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Pza</w:t>
            </w:r>
            <w:r w:rsidR="00AE38DD"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AE38DD" w:rsidRPr="00230B9B" w14:paraId="0F8450B9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49F317AD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60CA66EB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7F7F3A" w:rsidRPr="007F7F3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Compresor portátil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51056E88" w:rsidR="00AE38DD" w:rsidRPr="008D6BD3" w:rsidRDefault="007F7F3A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  <w:r w:rsidR="00AE38DD"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0A80F003" w14:textId="679711D1" w:rsidR="00AE38DD" w:rsidRPr="008D6BD3" w:rsidRDefault="004F1D96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0A604E41" w14:textId="77777777" w:rsidTr="008D6BD3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AE38DD" w:rsidRPr="008D6BD3" w:rsidRDefault="00AE38DD" w:rsidP="00BA2BE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 xml:space="preserve">Los equipos listados podrán ser requeridos por la supervisión en función a los requerimientos </w:t>
            </w:r>
            <w:r w:rsidR="00BA2BE5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de la obra.</w:t>
            </w:r>
          </w:p>
        </w:tc>
      </w:tr>
    </w:tbl>
    <w:p w14:paraId="2BA6C49E" w14:textId="77777777" w:rsidR="00230B9B" w:rsidRDefault="00230B9B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2D8328B" w14:textId="77777777" w:rsidR="00BA2BE5" w:rsidRPr="009E20B4" w:rsidRDefault="00BA2BE5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B17C05C" w14:textId="77777777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193B564E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6AA064" w14:textId="77777777" w:rsidR="00230B9B" w:rsidRPr="009E20B4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2683"/>
        <w:gridCol w:w="2973"/>
        <w:gridCol w:w="2790"/>
      </w:tblGrid>
      <w:tr w:rsidR="00AE38DD" w:rsidRPr="008D6BD3" w14:paraId="7EB18B57" w14:textId="77777777" w:rsidTr="008D6BD3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5997DCB1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31FA4D4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6A72F0CF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568D1D8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E38DD" w:rsidRPr="008D6BD3" w14:paraId="43878854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3B929F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1474CE15" w14:textId="0ABC566B" w:rsidR="00AE38DD" w:rsidRPr="008D6BD3" w:rsidRDefault="00932B5F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Técnico Eléctrico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6012B9E5" w14:textId="7B30B359" w:rsidR="00AE38DD" w:rsidRPr="008D6BD3" w:rsidRDefault="00932B5F" w:rsidP="00932B5F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Ingeniero o </w:t>
            </w:r>
            <w:r w:rsidRPr="00932B5F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Téc</w:t>
            </w: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nico Eléctrico, Electromecánico o</w:t>
            </w:r>
            <w:r w:rsidRPr="00932B5F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Electrónico 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49725DDB" w14:textId="010AA80C" w:rsidR="00AE38DD" w:rsidRPr="008D6BD3" w:rsidRDefault="00932B5F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AE38DD" w:rsidRPr="008D6BD3" w14:paraId="18D3248D" w14:textId="77777777" w:rsidTr="00EB2A1A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5DC53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476245E0" w14:textId="663C4C12" w:rsidR="00AE38DD" w:rsidRPr="008D6BD3" w:rsidRDefault="00932B5F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Responsable de Seguridad y Medio Ambiente</w:t>
            </w:r>
            <w:r w:rsidR="00EB2A1A">
              <w:rPr>
                <w:rFonts w:asciiTheme="minorHAnsi" w:hAnsiTheme="minorHAnsi" w:cstheme="minorHAnsi"/>
                <w:sz w:val="18"/>
                <w:szCs w:val="18"/>
              </w:rPr>
              <w:t xml:space="preserve"> (SMS)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201F8788" w14:textId="7BB5BB20" w:rsidR="00AE38DD" w:rsidRPr="008D6BD3" w:rsidRDefault="00EB2A1A" w:rsidP="00BA2E0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Según anexo de validación</w:t>
            </w:r>
          </w:p>
        </w:tc>
        <w:tc>
          <w:tcPr>
            <w:tcW w:w="1598" w:type="pct"/>
            <w:vAlign w:val="center"/>
          </w:tcPr>
          <w:p w14:paraId="749F281F" w14:textId="3D3E0D9C" w:rsidR="00AE38DD" w:rsidRPr="008D6BD3" w:rsidRDefault="00141BE5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AE38DD" w:rsidRPr="008D6BD3" w14:paraId="41262A16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DEF4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841E152" w14:textId="123A1D9F" w:rsidR="00AE38DD" w:rsidRPr="008D6BD3" w:rsidRDefault="00141BE5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D84818">
              <w:rPr>
                <w:rFonts w:asciiTheme="minorHAnsi" w:hAnsiTheme="minorHAnsi" w:cstheme="minorHAnsi"/>
                <w:sz w:val="18"/>
                <w:szCs w:val="18"/>
              </w:rPr>
              <w:t xml:space="preserve">hofer </w:t>
            </w:r>
          </w:p>
        </w:tc>
        <w:tc>
          <w:tcPr>
            <w:tcW w:w="1703" w:type="pct"/>
            <w:shd w:val="clear" w:color="auto" w:fill="auto"/>
          </w:tcPr>
          <w:p w14:paraId="526DCEF2" w14:textId="5338630C" w:rsidR="00AE38DD" w:rsidRPr="008D6BD3" w:rsidRDefault="0051465E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59A8F0AE" w14:textId="739DC5B8" w:rsidR="00AE38DD" w:rsidRPr="008D6BD3" w:rsidRDefault="0051465E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AE38DD" w:rsidRPr="008D6BD3" w14:paraId="5A9860A7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976E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1C2EE0F" w14:textId="12D51819" w:rsidR="00AE38DD" w:rsidRPr="008D6BD3" w:rsidRDefault="00D84818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Ayudante</w:t>
            </w:r>
          </w:p>
        </w:tc>
        <w:tc>
          <w:tcPr>
            <w:tcW w:w="1703" w:type="pct"/>
            <w:shd w:val="clear" w:color="auto" w:fill="auto"/>
          </w:tcPr>
          <w:p w14:paraId="2E337836" w14:textId="353CABF6" w:rsidR="00AE38DD" w:rsidRPr="008D6BD3" w:rsidRDefault="0051465E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07978365" w14:textId="06B71D62" w:rsidR="00AE38DD" w:rsidRPr="008D6BD3" w:rsidRDefault="0051465E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610E2FC0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0EDF721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042E7A9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297FEE14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4C23C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ELECTRICAS</w:t>
      </w:r>
    </w:p>
    <w:p w14:paraId="7D3D8125" w14:textId="58412AC5" w:rsidR="00230B9B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</w:t>
      </w:r>
      <w:r w:rsidR="006C7F3B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eléctricas y provisión de materiales</w:t>
      </w: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 se encuentran detalladas en el Anexo 2. </w:t>
      </w:r>
    </w:p>
    <w:p w14:paraId="0E4C62E9" w14:textId="77777777" w:rsidR="00DE5370" w:rsidRPr="009E20B4" w:rsidRDefault="00DE5370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</w:p>
    <w:p w14:paraId="2EA68CB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4670BD64" w14:textId="65B741D2" w:rsidR="00230B9B" w:rsidRPr="009E20B4" w:rsidRDefault="00DE5370" w:rsidP="00230B9B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En el Anexo 3</w:t>
      </w:r>
      <w:r w:rsidR="00230B9B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BF30A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E1E83A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78DB58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983BBBA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DC5929C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F961B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6CA7EE21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75A88207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5C912E78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79B263B3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4BA7C2A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DE3B850" w14:textId="31336C6B" w:rsidR="00E06DA1" w:rsidRPr="009E20B4" w:rsidRDefault="00C474B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Instalación</w:t>
      </w:r>
      <w:r w:rsidR="00635D1C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 Sistemas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 Protección Catódica.</w:t>
      </w:r>
    </w:p>
    <w:p w14:paraId="2422DCFC" w14:textId="2E16B33A" w:rsidR="00E06DA1" w:rsidRPr="009E20B4" w:rsidRDefault="00C474B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Mantenimiento de Sistemas de Protección Catódica</w:t>
      </w:r>
      <w:r w:rsidR="00551175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68847634" w14:textId="162BEC58" w:rsidR="00E06DA1" w:rsidRPr="009E20B4" w:rsidRDefault="00C474B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Instalación, </w:t>
      </w:r>
      <w:r w:rsidRPr="00C474B1">
        <w:rPr>
          <w:rFonts w:asciiTheme="minorHAnsi" w:hAnsiTheme="minorHAnsi" w:cstheme="minorHAnsi"/>
          <w:sz w:val="22"/>
          <w:szCs w:val="22"/>
          <w:lang w:val="es-BO" w:eastAsia="es-BO"/>
        </w:rPr>
        <w:t>Implementación y Puesta en Marcha del Equipo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C474B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Rectificador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es</w:t>
      </w:r>
      <w:r w:rsidR="00551175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Pr="00C474B1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3CB78DBF" w14:textId="205648D9" w:rsidR="00E06DA1" w:rsidRPr="009E20B4" w:rsidRDefault="009E3E2B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Instalación </w:t>
      </w:r>
      <w:r w:rsidR="005511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y/o Mantenimiento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 lechos anódicos</w:t>
      </w:r>
      <w:r w:rsidR="00551175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39847D23" w14:textId="7BE27FAD" w:rsidR="00110831" w:rsidRDefault="0011083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Construcción y/o Supervisión de Redes Primarias.</w:t>
      </w:r>
    </w:p>
    <w:p w14:paraId="5E943F7E" w14:textId="6618A45A" w:rsidR="00B12EDF" w:rsidRDefault="00B12EDF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Instalaciones Eléctricas Industriales.</w:t>
      </w:r>
    </w:p>
    <w:p w14:paraId="0CA39D9E" w14:textId="77777777" w:rsidR="00110831" w:rsidRDefault="00110831" w:rsidP="0011083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4013C9C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2"/>
        <w:gridCol w:w="2108"/>
        <w:gridCol w:w="1732"/>
        <w:gridCol w:w="874"/>
        <w:gridCol w:w="2152"/>
        <w:gridCol w:w="1641"/>
      </w:tblGrid>
      <w:tr w:rsidR="009B3346" w:rsidRPr="008D6BD3" w14:paraId="3DB0B041" w14:textId="77777777" w:rsidTr="009B6F1D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06423BEE" w14:textId="77777777" w:rsidTr="009B6F1D">
        <w:trPr>
          <w:trHeight w:val="596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668C0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22E0" w14:textId="77777777" w:rsidR="00B36103" w:rsidRPr="008D6BD3" w:rsidRDefault="00B36103" w:rsidP="00B361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2490D4F3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464591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19E7BCF8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6A494225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177B6D4B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751CA6A4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6731DDF5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7F1CEDEC" w14:textId="77777777" w:rsidR="00B36103" w:rsidRPr="008D6BD3" w:rsidRDefault="00B36103" w:rsidP="00B3610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SOLICITADO</w:t>
            </w: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747AC871" w14:textId="77777777" w:rsidR="009B3346" w:rsidRDefault="00B36103" w:rsidP="00B361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SOLICITADO</w:t>
            </w:r>
          </w:p>
          <w:p w14:paraId="14205C02" w14:textId="13E0627C" w:rsidR="00DA1EF0" w:rsidRPr="00B36103" w:rsidRDefault="00DA1EF0" w:rsidP="00B36103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71F9" w14:textId="7582ED61" w:rsidR="009B3346" w:rsidRPr="008D6BD3" w:rsidRDefault="00B36103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E9B" w14:textId="5DAF33C5" w:rsidR="009B3346" w:rsidRPr="008D6BD3" w:rsidRDefault="00B36103" w:rsidP="00B3610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79A" w14:textId="77777777" w:rsidR="00B36103" w:rsidRPr="008D6BD3" w:rsidRDefault="00B36103" w:rsidP="00B3610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>: UNA VEZ EL PRECIO REFERENCIAL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</w:t>
            </w:r>
            <w:r w:rsidRPr="00B36103">
              <w:rPr>
                <w:rFonts w:asciiTheme="minorHAnsi" w:hAnsiTheme="minorHAnsi" w:cstheme="minorHAnsi"/>
                <w:sz w:val="16"/>
                <w:szCs w:val="18"/>
              </w:rPr>
              <w:t>DE LA EMISIÓN DEL TÍTULO /DIPLOMA ACADÉMICO) EN CARGOS SIMILARES DE OBRAS SIMILARES (*)</w:t>
            </w:r>
          </w:p>
          <w:p w14:paraId="5D6C5891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CE1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DD8C2B4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7FB273F7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7C17BF3E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361098BF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35C0AE87" w14:textId="77777777" w:rsidR="00B36103" w:rsidRPr="008D6BD3" w:rsidRDefault="00B36103" w:rsidP="00B36103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INSPECTOR DE OBRA </w:t>
            </w:r>
          </w:p>
          <w:p w14:paraId="088C37B8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46E6BA38" w14:textId="77777777" w:rsidR="009B6F1D" w:rsidRDefault="009B6F1D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</w:p>
    <w:p w14:paraId="35540CC6" w14:textId="77777777" w:rsidR="00DA1EF0" w:rsidRDefault="00DA1EF0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</w:p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16B0B14A" w14:textId="77777777" w:rsidR="004B30A9" w:rsidRPr="008D6BD3" w:rsidRDefault="004B30A9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>: se considerara trabajo concluido desde el inicio del cargo hasta la culminación o cierre del mismo.</w:t>
      </w:r>
    </w:p>
    <w:p w14:paraId="138E20BA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8A45ED" w14:textId="77777777" w:rsidR="00AA5746" w:rsidRPr="00DA1EF0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BF30A4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055D5C32" w14:textId="77777777" w:rsidR="00DA1EF0" w:rsidRPr="00BF30A4" w:rsidRDefault="00DA1EF0" w:rsidP="00DA1EF0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14:paraId="29A98471" w14:textId="77777777" w:rsidR="00167FB3" w:rsidRPr="00BF30A4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BF30A4"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 deberán ser los siguientes:</w:t>
      </w:r>
    </w:p>
    <w:p w14:paraId="674AB9BE" w14:textId="77777777" w:rsidR="00167FB3" w:rsidRPr="00BF30A4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8C48DEF" w14:textId="19E8D9C3" w:rsidR="00167FB3" w:rsidRPr="00BF30A4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F30A4">
        <w:rPr>
          <w:rFonts w:asciiTheme="minorHAnsi" w:hAnsiTheme="minorHAnsi" w:cstheme="minorHAnsi"/>
          <w:sz w:val="22"/>
          <w:szCs w:val="22"/>
        </w:rPr>
        <w:t xml:space="preserve">Para </w:t>
      </w:r>
      <w:r w:rsidR="00167FB3" w:rsidRPr="00BF30A4">
        <w:rPr>
          <w:rFonts w:asciiTheme="minorHAnsi" w:hAnsiTheme="minorHAnsi" w:cstheme="minorHAnsi"/>
          <w:sz w:val="22"/>
          <w:szCs w:val="22"/>
        </w:rPr>
        <w:t>Residente de Obra</w:t>
      </w:r>
      <w:r w:rsidRPr="00BF30A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BF30A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BF30A4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F30A4">
        <w:rPr>
          <w:rFonts w:asciiTheme="minorHAnsi" w:hAnsiTheme="minorHAnsi" w:cstheme="minorHAnsi"/>
          <w:sz w:val="22"/>
          <w:szCs w:val="22"/>
        </w:rPr>
        <w:t>FOTOCOPIA SIMPLE DE TITULO/DIPLOMA ACADEMICO Y TITULO EN PROVISION NACIONAL</w:t>
      </w:r>
    </w:p>
    <w:p w14:paraId="5E74EB57" w14:textId="77777777" w:rsidR="009B3346" w:rsidRPr="00BF30A4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F30A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BF30A4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BF30A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77777777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Superintendente de Obra, Director de Obra</w:t>
      </w:r>
      <w:r w:rsidR="00FC0915">
        <w:rPr>
          <w:rFonts w:asciiTheme="minorHAnsi" w:hAnsiTheme="minorHAnsi" w:cstheme="minorHAnsi"/>
          <w:sz w:val="22"/>
          <w:szCs w:val="22"/>
        </w:rPr>
        <w:t xml:space="preserve"> y</w:t>
      </w:r>
      <w:r w:rsidRPr="009E20B4">
        <w:rPr>
          <w:rFonts w:asciiTheme="minorHAnsi" w:hAnsiTheme="minorHAnsi" w:cstheme="minorHAnsi"/>
          <w:sz w:val="22"/>
          <w:szCs w:val="22"/>
        </w:rPr>
        <w:t xml:space="preserve">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92A7EA" w14:textId="77777777" w:rsidR="00DA1EF0" w:rsidRDefault="00DA1EF0" w:rsidP="00DA1EF0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 Recepción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50E31905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3343BF24" w14:textId="77777777" w:rsidR="00FC0915" w:rsidRDefault="00FC0915" w:rsidP="008D6BD3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A68BF4" w14:textId="77777777" w:rsidR="00DA1EF0" w:rsidRDefault="00DA1EF0" w:rsidP="008D6BD3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5017282" w14:textId="77777777" w:rsidR="00DA1EF0" w:rsidRDefault="00DA1EF0" w:rsidP="008D6BD3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736D79A" w14:textId="77777777" w:rsidR="009B3346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25687FF4" w14:textId="77777777" w:rsidR="00DA1EF0" w:rsidRPr="009E20B4" w:rsidRDefault="00DA1EF0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</w:p>
    <w:p w14:paraId="1DFA154D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Residente, Director o Superintendente 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E0FE319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9D5876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bookmarkStart w:id="1" w:name="_GoBack"/>
      <w:bookmarkEnd w:id="1"/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775EC04D" w14:textId="46C1B6A4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>La empresa adjudicada deberá considerar para su propuesta el cumplimiento de los siguientes acápites, mismos que se en</w:t>
      </w:r>
      <w:r w:rsidR="006F2D1F">
        <w:rPr>
          <w:rFonts w:asciiTheme="minorHAnsi" w:hAnsiTheme="minorHAnsi" w:cstheme="minorHAnsi"/>
          <w:sz w:val="22"/>
          <w:szCs w:val="22"/>
        </w:rPr>
        <w:t>cuentran descritos en el Anexo 4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3A0EFFBD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6C75CF92" w14:textId="77777777" w:rsidR="006E3E3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F30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CONDICIONES ADICIONALES</w:t>
      </w:r>
    </w:p>
    <w:p w14:paraId="0CDFEB95" w14:textId="77777777" w:rsidR="00DA1EF0" w:rsidRPr="00BF30A4" w:rsidRDefault="00DA1EF0" w:rsidP="00DA1EF0">
      <w:pPr>
        <w:pStyle w:val="Prrafodelista"/>
        <w:tabs>
          <w:tab w:val="left" w:pos="426"/>
        </w:tabs>
        <w:spacing w:line="276" w:lineRule="auto"/>
        <w:ind w:left="36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374C6257" w14:textId="77777777" w:rsidR="0037036D" w:rsidRPr="00540EA9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08657941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E95754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0DC80B82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E6E3379" w14:textId="77777777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B9191CD" w14:textId="77777777" w:rsidR="000246D0" w:rsidRPr="007557DB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A936839" w14:textId="77777777" w:rsidR="004E55DA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3615F80" w14:textId="77777777" w:rsidR="00DA1EF0" w:rsidRDefault="00DA1EF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99960EF" w14:textId="77777777" w:rsidR="00DA1EF0" w:rsidRDefault="00DA1EF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4122B33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18100ADD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D70C4" w14:textId="23064869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5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CD422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95BD6AE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06DD4E60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14"/>
        <w:gridCol w:w="4698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0C1CC1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09B7E8A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F657F59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 iniciar el proceso de resolución del Contrato, conforme a lo estipulado.</w:t>
      </w:r>
    </w:p>
    <w:p w14:paraId="23D35F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EC2563" w14:textId="77777777" w:rsidR="00D36F90" w:rsidRPr="00811C45" w:rsidRDefault="00E13CFA" w:rsidP="00E13C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22BD4733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FE67CD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74FE5E38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5D718B72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FF6D0D" w14:textId="77777777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4D07875B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4E07CA9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231B27A1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63CC02DC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9694AE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FD29A1F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481BFAC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50343340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D9F0400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8696777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5EB3169F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77A4809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592A64A0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A63226B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(.xlsx),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.docx)</w:t>
      </w:r>
    </w:p>
    <w:p w14:paraId="582C49F9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783E0F0B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FD40198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20DDE5FF" w14:textId="77777777" w:rsidR="00CC7F20" w:rsidRPr="007557DB" w:rsidRDefault="00CC7F20" w:rsidP="0063310B">
      <w:pPr>
        <w:spacing w:line="276" w:lineRule="auto"/>
        <w:ind w:firstLine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CC7F20" w:rsidRPr="007557DB" w:rsidSect="00B170F8">
      <w:head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70608" w14:textId="77777777" w:rsidR="00BC7260" w:rsidRDefault="00BC7260" w:rsidP="002D1D82">
      <w:r>
        <w:separator/>
      </w:r>
    </w:p>
  </w:endnote>
  <w:endnote w:type="continuationSeparator" w:id="0">
    <w:p w14:paraId="06B079A3" w14:textId="77777777" w:rsidR="00BC7260" w:rsidRDefault="00BC7260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DF330" w14:textId="77777777" w:rsidR="00BC7260" w:rsidRDefault="00BC7260" w:rsidP="002D1D82">
      <w:r>
        <w:separator/>
      </w:r>
    </w:p>
  </w:footnote>
  <w:footnote w:type="continuationSeparator" w:id="0">
    <w:p w14:paraId="1C379997" w14:textId="77777777" w:rsidR="00BC7260" w:rsidRDefault="00BC7260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101"/>
      <w:gridCol w:w="5811"/>
      <w:gridCol w:w="2000"/>
    </w:tblGrid>
    <w:tr w:rsidR="00B93F11" w14:paraId="7EFCA9E3" w14:textId="77777777" w:rsidTr="008870D2">
      <w:tc>
        <w:tcPr>
          <w:tcW w:w="618" w:type="pct"/>
          <w:vMerge w:val="restart"/>
        </w:tcPr>
        <w:p w14:paraId="73558313" w14:textId="77777777" w:rsidR="00B93F11" w:rsidRDefault="00B93F11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329256EE" w14:textId="49202B69" w:rsidR="00B93F11" w:rsidRDefault="00B93F11" w:rsidP="008870D2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95D10">
            <w:rPr>
              <w:rFonts w:asciiTheme="minorHAnsi" w:hAnsiTheme="minorHAnsi" w:cstheme="minorHAnsi"/>
              <w:b/>
              <w:sz w:val="18"/>
              <w:szCs w:val="18"/>
            </w:rPr>
            <w:t xml:space="preserve">ESPECIFICACIONES TÉCNICAS </w:t>
          </w:r>
        </w:p>
        <w:p w14:paraId="331DB903" w14:textId="490E4981" w:rsidR="00B93F11" w:rsidRDefault="00B93F11" w:rsidP="008870D2">
          <w:pPr>
            <w:pStyle w:val="Encabezado"/>
            <w:jc w:val="center"/>
          </w:pPr>
          <w:r w:rsidRPr="00975D8B">
            <w:rPr>
              <w:rFonts w:asciiTheme="minorHAnsi" w:hAnsiTheme="minorHAnsi" w:cstheme="minorHAnsi"/>
              <w:b/>
              <w:sz w:val="18"/>
              <w:szCs w:val="18"/>
            </w:rPr>
            <w:t>MANTENIMIENTO DE PROTECCIÓN CATODICA</w:t>
          </w:r>
        </w:p>
      </w:tc>
      <w:tc>
        <w:tcPr>
          <w:tcW w:w="1122" w:type="pct"/>
          <w:vAlign w:val="center"/>
        </w:tcPr>
        <w:p w14:paraId="164F65AF" w14:textId="77777777" w:rsidR="00B93F11" w:rsidRDefault="00B93F11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B93F11" w14:paraId="078D7E9E" w14:textId="77777777" w:rsidTr="008870D2">
      <w:tc>
        <w:tcPr>
          <w:tcW w:w="618" w:type="pct"/>
          <w:vMerge/>
        </w:tcPr>
        <w:p w14:paraId="3E0E55F6" w14:textId="77777777" w:rsidR="00B93F11" w:rsidRDefault="00B93F11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B93F11" w:rsidRDefault="00B93F11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5DB23870" w:rsidR="00B93F11" w:rsidRPr="00975D8B" w:rsidRDefault="00B93F11" w:rsidP="00975D8B">
          <w:pPr>
            <w:pStyle w:val="Encabezado"/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 02/10/2018</w:t>
          </w:r>
        </w:p>
      </w:tc>
    </w:tr>
    <w:tr w:rsidR="00B93F11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4A208C46" w:rsidR="00B93F11" w:rsidRDefault="00B93F11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B93F11" w:rsidRDefault="00B93F11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B93F11" w:rsidRDefault="00B93F11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BC7260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BC7260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08466C24" w14:textId="77777777" w:rsidR="00B93F11" w:rsidRDefault="00B93F11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AD7"/>
    <w:multiLevelType w:val="hybridMultilevel"/>
    <w:tmpl w:val="268409D0"/>
    <w:lvl w:ilvl="0" w:tplc="0C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0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6B0536"/>
    <w:multiLevelType w:val="multilevel"/>
    <w:tmpl w:val="77625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1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2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3"/>
  </w:num>
  <w:num w:numId="3">
    <w:abstractNumId w:val="17"/>
  </w:num>
  <w:num w:numId="4">
    <w:abstractNumId w:val="44"/>
  </w:num>
  <w:num w:numId="5">
    <w:abstractNumId w:val="12"/>
  </w:num>
  <w:num w:numId="6">
    <w:abstractNumId w:val="21"/>
  </w:num>
  <w:num w:numId="7">
    <w:abstractNumId w:val="18"/>
  </w:num>
  <w:num w:numId="8">
    <w:abstractNumId w:val="31"/>
  </w:num>
  <w:num w:numId="9">
    <w:abstractNumId w:val="25"/>
  </w:num>
  <w:num w:numId="10">
    <w:abstractNumId w:val="26"/>
  </w:num>
  <w:num w:numId="11">
    <w:abstractNumId w:val="64"/>
  </w:num>
  <w:num w:numId="12">
    <w:abstractNumId w:val="10"/>
  </w:num>
  <w:num w:numId="13">
    <w:abstractNumId w:val="14"/>
  </w:num>
  <w:num w:numId="14">
    <w:abstractNumId w:val="37"/>
  </w:num>
  <w:num w:numId="15">
    <w:abstractNumId w:val="53"/>
  </w:num>
  <w:num w:numId="16">
    <w:abstractNumId w:val="23"/>
  </w:num>
  <w:num w:numId="17">
    <w:abstractNumId w:val="5"/>
  </w:num>
  <w:num w:numId="18">
    <w:abstractNumId w:val="52"/>
  </w:num>
  <w:num w:numId="19">
    <w:abstractNumId w:val="42"/>
  </w:num>
  <w:num w:numId="20">
    <w:abstractNumId w:val="4"/>
  </w:num>
  <w:num w:numId="21">
    <w:abstractNumId w:val="19"/>
  </w:num>
  <w:num w:numId="22">
    <w:abstractNumId w:val="49"/>
  </w:num>
  <w:num w:numId="23">
    <w:abstractNumId w:val="32"/>
  </w:num>
  <w:num w:numId="24">
    <w:abstractNumId w:val="55"/>
  </w:num>
  <w:num w:numId="25">
    <w:abstractNumId w:val="30"/>
  </w:num>
  <w:num w:numId="26">
    <w:abstractNumId w:val="63"/>
  </w:num>
  <w:num w:numId="27">
    <w:abstractNumId w:val="7"/>
  </w:num>
  <w:num w:numId="28">
    <w:abstractNumId w:val="29"/>
  </w:num>
  <w:num w:numId="29">
    <w:abstractNumId w:val="9"/>
  </w:num>
  <w:num w:numId="30">
    <w:abstractNumId w:val="35"/>
  </w:num>
  <w:num w:numId="31">
    <w:abstractNumId w:val="62"/>
  </w:num>
  <w:num w:numId="32">
    <w:abstractNumId w:val="56"/>
  </w:num>
  <w:num w:numId="33">
    <w:abstractNumId w:val="16"/>
  </w:num>
  <w:num w:numId="34">
    <w:abstractNumId w:val="43"/>
  </w:num>
  <w:num w:numId="35">
    <w:abstractNumId w:val="46"/>
  </w:num>
  <w:num w:numId="36">
    <w:abstractNumId w:val="38"/>
  </w:num>
  <w:num w:numId="37">
    <w:abstractNumId w:val="41"/>
  </w:num>
  <w:num w:numId="38">
    <w:abstractNumId w:val="34"/>
  </w:num>
  <w:num w:numId="39">
    <w:abstractNumId w:val="36"/>
  </w:num>
  <w:num w:numId="40">
    <w:abstractNumId w:val="48"/>
  </w:num>
  <w:num w:numId="41">
    <w:abstractNumId w:val="45"/>
  </w:num>
  <w:num w:numId="42">
    <w:abstractNumId w:val="6"/>
  </w:num>
  <w:num w:numId="43">
    <w:abstractNumId w:val="51"/>
  </w:num>
  <w:num w:numId="44">
    <w:abstractNumId w:val="27"/>
  </w:num>
  <w:num w:numId="45">
    <w:abstractNumId w:val="20"/>
  </w:num>
  <w:num w:numId="46">
    <w:abstractNumId w:val="61"/>
  </w:num>
  <w:num w:numId="47">
    <w:abstractNumId w:val="57"/>
  </w:num>
  <w:num w:numId="48">
    <w:abstractNumId w:val="15"/>
  </w:num>
  <w:num w:numId="49">
    <w:abstractNumId w:val="54"/>
  </w:num>
  <w:num w:numId="50">
    <w:abstractNumId w:val="8"/>
  </w:num>
  <w:num w:numId="51">
    <w:abstractNumId w:val="3"/>
  </w:num>
  <w:num w:numId="52">
    <w:abstractNumId w:val="60"/>
  </w:num>
  <w:num w:numId="53">
    <w:abstractNumId w:val="59"/>
  </w:num>
  <w:num w:numId="54">
    <w:abstractNumId w:val="24"/>
  </w:num>
  <w:num w:numId="55">
    <w:abstractNumId w:val="2"/>
  </w:num>
  <w:num w:numId="56">
    <w:abstractNumId w:val="50"/>
  </w:num>
  <w:num w:numId="57">
    <w:abstractNumId w:val="58"/>
  </w:num>
  <w:num w:numId="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</w:num>
  <w:num w:numId="60">
    <w:abstractNumId w:val="11"/>
  </w:num>
  <w:num w:numId="61">
    <w:abstractNumId w:val="47"/>
  </w:num>
  <w:num w:numId="62">
    <w:abstractNumId w:val="1"/>
  </w:num>
  <w:num w:numId="63">
    <w:abstractNumId w:val="39"/>
  </w:num>
  <w:num w:numId="64">
    <w:abstractNumId w:val="40"/>
  </w:num>
  <w:num w:numId="65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82"/>
    <w:rsid w:val="00002D91"/>
    <w:rsid w:val="00004816"/>
    <w:rsid w:val="00007EA7"/>
    <w:rsid w:val="000139AE"/>
    <w:rsid w:val="00013A70"/>
    <w:rsid w:val="000205CC"/>
    <w:rsid w:val="000246D0"/>
    <w:rsid w:val="000248CE"/>
    <w:rsid w:val="00025E09"/>
    <w:rsid w:val="0002614B"/>
    <w:rsid w:val="000325EA"/>
    <w:rsid w:val="000415C4"/>
    <w:rsid w:val="000463B8"/>
    <w:rsid w:val="0005249A"/>
    <w:rsid w:val="000541CD"/>
    <w:rsid w:val="0005796B"/>
    <w:rsid w:val="00060B4B"/>
    <w:rsid w:val="000627AB"/>
    <w:rsid w:val="000653F3"/>
    <w:rsid w:val="00067083"/>
    <w:rsid w:val="00071E4D"/>
    <w:rsid w:val="00072FEB"/>
    <w:rsid w:val="000810BB"/>
    <w:rsid w:val="000823B5"/>
    <w:rsid w:val="00083221"/>
    <w:rsid w:val="0008596D"/>
    <w:rsid w:val="00090181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53FE"/>
    <w:rsid w:val="00105499"/>
    <w:rsid w:val="001065BB"/>
    <w:rsid w:val="001073D1"/>
    <w:rsid w:val="00110831"/>
    <w:rsid w:val="00113274"/>
    <w:rsid w:val="0011357A"/>
    <w:rsid w:val="00116867"/>
    <w:rsid w:val="00117037"/>
    <w:rsid w:val="0012024D"/>
    <w:rsid w:val="001228F5"/>
    <w:rsid w:val="00123F1E"/>
    <w:rsid w:val="001254F0"/>
    <w:rsid w:val="00134813"/>
    <w:rsid w:val="00135C7E"/>
    <w:rsid w:val="00135D65"/>
    <w:rsid w:val="00136BD7"/>
    <w:rsid w:val="00141BE5"/>
    <w:rsid w:val="00143A2C"/>
    <w:rsid w:val="00147443"/>
    <w:rsid w:val="00147C13"/>
    <w:rsid w:val="00150B67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2CF7"/>
    <w:rsid w:val="001E5429"/>
    <w:rsid w:val="001E6FD7"/>
    <w:rsid w:val="001F1645"/>
    <w:rsid w:val="001F19E9"/>
    <w:rsid w:val="001F1D9C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826BB"/>
    <w:rsid w:val="00282AC1"/>
    <w:rsid w:val="002834AA"/>
    <w:rsid w:val="00283ACF"/>
    <w:rsid w:val="002848B6"/>
    <w:rsid w:val="00286202"/>
    <w:rsid w:val="00292574"/>
    <w:rsid w:val="002926F5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4431"/>
    <w:rsid w:val="0031090A"/>
    <w:rsid w:val="00313FBB"/>
    <w:rsid w:val="003157D4"/>
    <w:rsid w:val="003173BC"/>
    <w:rsid w:val="00320759"/>
    <w:rsid w:val="00324C0B"/>
    <w:rsid w:val="0032612B"/>
    <w:rsid w:val="00327BB1"/>
    <w:rsid w:val="00333618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74C24"/>
    <w:rsid w:val="00382525"/>
    <w:rsid w:val="0038401A"/>
    <w:rsid w:val="003851AD"/>
    <w:rsid w:val="003867DC"/>
    <w:rsid w:val="0038783B"/>
    <w:rsid w:val="003909B8"/>
    <w:rsid w:val="00391FD9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E6FC1"/>
    <w:rsid w:val="003F3BFC"/>
    <w:rsid w:val="003F4E91"/>
    <w:rsid w:val="00402288"/>
    <w:rsid w:val="00404523"/>
    <w:rsid w:val="004059E7"/>
    <w:rsid w:val="00406487"/>
    <w:rsid w:val="0041582F"/>
    <w:rsid w:val="00417C3C"/>
    <w:rsid w:val="00420239"/>
    <w:rsid w:val="00420806"/>
    <w:rsid w:val="00420BF4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C7F"/>
    <w:rsid w:val="00486E68"/>
    <w:rsid w:val="00491667"/>
    <w:rsid w:val="00491ADD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C21D4"/>
    <w:rsid w:val="004C23C4"/>
    <w:rsid w:val="004D211D"/>
    <w:rsid w:val="004D25A9"/>
    <w:rsid w:val="004E43E8"/>
    <w:rsid w:val="004E55DA"/>
    <w:rsid w:val="004E5DB2"/>
    <w:rsid w:val="004F1D96"/>
    <w:rsid w:val="004F1F72"/>
    <w:rsid w:val="004F4C36"/>
    <w:rsid w:val="00502618"/>
    <w:rsid w:val="00505D4F"/>
    <w:rsid w:val="0050776D"/>
    <w:rsid w:val="00507DF8"/>
    <w:rsid w:val="00510917"/>
    <w:rsid w:val="0051465E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1175"/>
    <w:rsid w:val="00553D27"/>
    <w:rsid w:val="00557525"/>
    <w:rsid w:val="00560159"/>
    <w:rsid w:val="00574869"/>
    <w:rsid w:val="005801AA"/>
    <w:rsid w:val="0058081F"/>
    <w:rsid w:val="0058095A"/>
    <w:rsid w:val="005821EF"/>
    <w:rsid w:val="00587A51"/>
    <w:rsid w:val="0059168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2893"/>
    <w:rsid w:val="005C4484"/>
    <w:rsid w:val="005C61B1"/>
    <w:rsid w:val="005C77EC"/>
    <w:rsid w:val="005D17C0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35D1C"/>
    <w:rsid w:val="00640177"/>
    <w:rsid w:val="00641BCB"/>
    <w:rsid w:val="00643705"/>
    <w:rsid w:val="00646456"/>
    <w:rsid w:val="00651F78"/>
    <w:rsid w:val="00652FAA"/>
    <w:rsid w:val="00654CD3"/>
    <w:rsid w:val="006576AD"/>
    <w:rsid w:val="006705AC"/>
    <w:rsid w:val="00670EB3"/>
    <w:rsid w:val="00673B71"/>
    <w:rsid w:val="006741AC"/>
    <w:rsid w:val="006751F4"/>
    <w:rsid w:val="006831A6"/>
    <w:rsid w:val="006831C4"/>
    <w:rsid w:val="00683A4C"/>
    <w:rsid w:val="00684D76"/>
    <w:rsid w:val="006907E7"/>
    <w:rsid w:val="00694575"/>
    <w:rsid w:val="006970F0"/>
    <w:rsid w:val="006A0CCA"/>
    <w:rsid w:val="006A46DC"/>
    <w:rsid w:val="006A6316"/>
    <w:rsid w:val="006A6874"/>
    <w:rsid w:val="006B0C4E"/>
    <w:rsid w:val="006B6AE3"/>
    <w:rsid w:val="006C4000"/>
    <w:rsid w:val="006C7F3B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2D1F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4671"/>
    <w:rsid w:val="00726A83"/>
    <w:rsid w:val="00730FD6"/>
    <w:rsid w:val="0073206B"/>
    <w:rsid w:val="00732418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A0C47"/>
    <w:rsid w:val="007A116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7F7F3A"/>
    <w:rsid w:val="00801524"/>
    <w:rsid w:val="00811C45"/>
    <w:rsid w:val="00811ED9"/>
    <w:rsid w:val="0081271D"/>
    <w:rsid w:val="008206DD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2EF9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823"/>
    <w:rsid w:val="008B4F92"/>
    <w:rsid w:val="008C3015"/>
    <w:rsid w:val="008C67C1"/>
    <w:rsid w:val="008D1F19"/>
    <w:rsid w:val="008D6BD3"/>
    <w:rsid w:val="008E04D8"/>
    <w:rsid w:val="008E4067"/>
    <w:rsid w:val="008E413B"/>
    <w:rsid w:val="008E417A"/>
    <w:rsid w:val="008E5A31"/>
    <w:rsid w:val="008F07EF"/>
    <w:rsid w:val="008F10A1"/>
    <w:rsid w:val="008F2C11"/>
    <w:rsid w:val="008F5654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4916"/>
    <w:rsid w:val="009253FC"/>
    <w:rsid w:val="00932B5F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0691"/>
    <w:rsid w:val="00972424"/>
    <w:rsid w:val="0097327A"/>
    <w:rsid w:val="00973D5E"/>
    <w:rsid w:val="00975D8B"/>
    <w:rsid w:val="009807A8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A7B4B"/>
    <w:rsid w:val="009B2EE3"/>
    <w:rsid w:val="009B3346"/>
    <w:rsid w:val="009B47E5"/>
    <w:rsid w:val="009B5F77"/>
    <w:rsid w:val="009B6482"/>
    <w:rsid w:val="009B6F1D"/>
    <w:rsid w:val="009C20B5"/>
    <w:rsid w:val="009C3E27"/>
    <w:rsid w:val="009C4FE8"/>
    <w:rsid w:val="009D05E6"/>
    <w:rsid w:val="009D2743"/>
    <w:rsid w:val="009D5098"/>
    <w:rsid w:val="009D530C"/>
    <w:rsid w:val="009D6F4F"/>
    <w:rsid w:val="009D7301"/>
    <w:rsid w:val="009E0C9B"/>
    <w:rsid w:val="009E1BCE"/>
    <w:rsid w:val="009E3E2B"/>
    <w:rsid w:val="009E7597"/>
    <w:rsid w:val="009F0722"/>
    <w:rsid w:val="009F4C4C"/>
    <w:rsid w:val="009F77A1"/>
    <w:rsid w:val="00A01DDE"/>
    <w:rsid w:val="00A029B0"/>
    <w:rsid w:val="00A046AB"/>
    <w:rsid w:val="00A06948"/>
    <w:rsid w:val="00A07FC4"/>
    <w:rsid w:val="00A10119"/>
    <w:rsid w:val="00A1144B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B01010"/>
    <w:rsid w:val="00B0332C"/>
    <w:rsid w:val="00B06E29"/>
    <w:rsid w:val="00B11F45"/>
    <w:rsid w:val="00B12EDF"/>
    <w:rsid w:val="00B13582"/>
    <w:rsid w:val="00B170F8"/>
    <w:rsid w:val="00B17F6D"/>
    <w:rsid w:val="00B249C5"/>
    <w:rsid w:val="00B25438"/>
    <w:rsid w:val="00B27A1D"/>
    <w:rsid w:val="00B32649"/>
    <w:rsid w:val="00B33F72"/>
    <w:rsid w:val="00B36103"/>
    <w:rsid w:val="00B424B3"/>
    <w:rsid w:val="00B43175"/>
    <w:rsid w:val="00B46816"/>
    <w:rsid w:val="00B47BAD"/>
    <w:rsid w:val="00B47DF5"/>
    <w:rsid w:val="00B504B2"/>
    <w:rsid w:val="00B50F5A"/>
    <w:rsid w:val="00B5124A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1650"/>
    <w:rsid w:val="00B92937"/>
    <w:rsid w:val="00B93F11"/>
    <w:rsid w:val="00B949A4"/>
    <w:rsid w:val="00B96B75"/>
    <w:rsid w:val="00BA2BE5"/>
    <w:rsid w:val="00BA2E0C"/>
    <w:rsid w:val="00BA333F"/>
    <w:rsid w:val="00BA5522"/>
    <w:rsid w:val="00BA5876"/>
    <w:rsid w:val="00BB1013"/>
    <w:rsid w:val="00BB25AE"/>
    <w:rsid w:val="00BB7839"/>
    <w:rsid w:val="00BC0817"/>
    <w:rsid w:val="00BC0A2D"/>
    <w:rsid w:val="00BC59E0"/>
    <w:rsid w:val="00BC6CAC"/>
    <w:rsid w:val="00BC6CB0"/>
    <w:rsid w:val="00BC7260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2ABF"/>
    <w:rsid w:val="00BF30A4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2B98"/>
    <w:rsid w:val="00C230F5"/>
    <w:rsid w:val="00C266A0"/>
    <w:rsid w:val="00C41B8B"/>
    <w:rsid w:val="00C46536"/>
    <w:rsid w:val="00C474B1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422B"/>
    <w:rsid w:val="00CD5400"/>
    <w:rsid w:val="00CD79C1"/>
    <w:rsid w:val="00CE4915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782"/>
    <w:rsid w:val="00D36F90"/>
    <w:rsid w:val="00D46830"/>
    <w:rsid w:val="00D51C18"/>
    <w:rsid w:val="00D535AF"/>
    <w:rsid w:val="00D55729"/>
    <w:rsid w:val="00D56DCF"/>
    <w:rsid w:val="00D6328C"/>
    <w:rsid w:val="00D73341"/>
    <w:rsid w:val="00D73678"/>
    <w:rsid w:val="00D77862"/>
    <w:rsid w:val="00D811AF"/>
    <w:rsid w:val="00D81231"/>
    <w:rsid w:val="00D818D7"/>
    <w:rsid w:val="00D84126"/>
    <w:rsid w:val="00D84818"/>
    <w:rsid w:val="00D90E12"/>
    <w:rsid w:val="00D9272D"/>
    <w:rsid w:val="00DA00AE"/>
    <w:rsid w:val="00DA0D69"/>
    <w:rsid w:val="00DA1EF0"/>
    <w:rsid w:val="00DA3C2D"/>
    <w:rsid w:val="00DB0803"/>
    <w:rsid w:val="00DB3262"/>
    <w:rsid w:val="00DB5727"/>
    <w:rsid w:val="00DC115C"/>
    <w:rsid w:val="00DC2B7C"/>
    <w:rsid w:val="00DC3868"/>
    <w:rsid w:val="00DD2F58"/>
    <w:rsid w:val="00DD3BD8"/>
    <w:rsid w:val="00DE322F"/>
    <w:rsid w:val="00DE5241"/>
    <w:rsid w:val="00DE5370"/>
    <w:rsid w:val="00DE5478"/>
    <w:rsid w:val="00DE74AA"/>
    <w:rsid w:val="00DF45EA"/>
    <w:rsid w:val="00DF6999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2043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5A0F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51F3"/>
    <w:rsid w:val="00E874C1"/>
    <w:rsid w:val="00E90596"/>
    <w:rsid w:val="00E92F33"/>
    <w:rsid w:val="00E93B7A"/>
    <w:rsid w:val="00E962C8"/>
    <w:rsid w:val="00EA173E"/>
    <w:rsid w:val="00EB2A1A"/>
    <w:rsid w:val="00EB44CA"/>
    <w:rsid w:val="00EB4575"/>
    <w:rsid w:val="00EB5140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6C5"/>
    <w:rsid w:val="00EF0C2B"/>
    <w:rsid w:val="00EF1B05"/>
    <w:rsid w:val="00EF2EFA"/>
    <w:rsid w:val="00EF3F95"/>
    <w:rsid w:val="00EF6D76"/>
    <w:rsid w:val="00F01035"/>
    <w:rsid w:val="00F01047"/>
    <w:rsid w:val="00F01286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0C7B"/>
    <w:rsid w:val="00F82020"/>
    <w:rsid w:val="00F82E9C"/>
    <w:rsid w:val="00F844A4"/>
    <w:rsid w:val="00F918A3"/>
    <w:rsid w:val="00F91BD6"/>
    <w:rsid w:val="00F963DE"/>
    <w:rsid w:val="00FA10BD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1F20"/>
    <w:rsid w:val="00FC2893"/>
    <w:rsid w:val="00FC69A8"/>
    <w:rsid w:val="00FD177B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0A8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EAA9-7D0D-4A96-BE1E-0000066F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2412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Sandra Boado Quiroga Rojas</cp:lastModifiedBy>
  <cp:revision>3</cp:revision>
  <cp:lastPrinted>2018-10-26T22:59:00Z</cp:lastPrinted>
  <dcterms:created xsi:type="dcterms:W3CDTF">2018-10-26T23:02:00Z</dcterms:created>
  <dcterms:modified xsi:type="dcterms:W3CDTF">2018-10-26T23:08:00Z</dcterms:modified>
</cp:coreProperties>
</file>