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60" w:rsidRDefault="00E94E9B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  <w:t>ANEXO 1</w:t>
      </w:r>
    </w:p>
    <w:p w:rsidR="00355658" w:rsidRPr="00B1676D" w:rsidRDefault="00355658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</w:p>
    <w:p w:rsidR="00796DFD" w:rsidRPr="003A4076" w:rsidRDefault="00166AA9" w:rsidP="00796DFD">
      <w:pPr>
        <w:pStyle w:val="Encabezado"/>
        <w:jc w:val="center"/>
        <w:rPr>
          <w:rFonts w:ascii="Calibri" w:hAnsi="Calibri" w:cs="Calibri"/>
          <w:b/>
          <w:sz w:val="22"/>
          <w:szCs w:val="22"/>
        </w:rPr>
      </w:pPr>
      <w:r w:rsidRPr="00166AA9">
        <w:rPr>
          <w:rFonts w:ascii="Calibri" w:hAnsi="Calibri" w:cs="Calibri"/>
          <w:b/>
          <w:bCs/>
          <w:sz w:val="22"/>
          <w:szCs w:val="22"/>
          <w:lang w:eastAsia="es-BO"/>
        </w:rPr>
        <w:t>“</w:t>
      </w:r>
      <w:r w:rsidR="00E94E9B" w:rsidRPr="00293BF6">
        <w:rPr>
          <w:rFonts w:ascii="Calibri" w:eastAsia="Arial Unicode MS" w:hAnsi="Calibri" w:cs="Calibri"/>
          <w:b/>
          <w:color w:val="000000"/>
          <w:sz w:val="22"/>
          <w:szCs w:val="22"/>
          <w:lang w:val="es-BO"/>
        </w:rPr>
        <w:t>ADQUISICIÓN DE DEPURADOR-SPOOL, QUE INCLUYE DESMONTAJE Y MONTAJE EN PLANTA DE SEPARACIÓN DE LÍQUIDOS RÍO GRANDE</w:t>
      </w:r>
      <w:r w:rsidRPr="00166AA9">
        <w:rPr>
          <w:rFonts w:ascii="Calibri" w:hAnsi="Calibri" w:cs="Calibri"/>
          <w:b/>
          <w:bCs/>
          <w:sz w:val="22"/>
          <w:szCs w:val="22"/>
          <w:lang w:eastAsia="es-BO"/>
        </w:rPr>
        <w:t>”</w:t>
      </w:r>
    </w:p>
    <w:p w:rsidR="00653D86" w:rsidRDefault="00653D86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Style w:val="Tablaconcuadrcula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3102D7" w:rsidTr="0064092D">
        <w:trPr>
          <w:trHeight w:val="401"/>
        </w:trPr>
        <w:tc>
          <w:tcPr>
            <w:tcW w:w="9654" w:type="dxa"/>
            <w:shd w:val="clear" w:color="auto" w:fill="DEEAF6" w:themeFill="accent1" w:themeFillTint="33"/>
            <w:vAlign w:val="center"/>
          </w:tcPr>
          <w:p w:rsidR="003102D7" w:rsidRDefault="003102D7" w:rsidP="006409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GARANTÍAS FINANCIERAS.</w:t>
            </w:r>
          </w:p>
        </w:tc>
      </w:tr>
      <w:tr w:rsidR="003102D7" w:rsidRPr="00174481" w:rsidTr="00542A4F">
        <w:trPr>
          <w:trHeight w:val="2835"/>
        </w:trPr>
        <w:tc>
          <w:tcPr>
            <w:tcW w:w="9654" w:type="dxa"/>
            <w:vAlign w:val="center"/>
          </w:tcPr>
          <w:p w:rsidR="003102D7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GARANTÍA DE SERIEDAD DE PROPUESTA</w:t>
            </w:r>
            <w:r w:rsidRPr="002C2F4D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.</w:t>
            </w:r>
          </w:p>
          <w:p w:rsidR="003102D7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A elección de la empresa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proponente</w:t>
            </w:r>
            <w:r w:rsidR="00B95DF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,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ésta podrá optar por uno de los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siguientes instrumentos financie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ros: </w:t>
            </w:r>
          </w:p>
          <w:p w:rsidR="003102D7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3102D7" w:rsidRPr="004369C6" w:rsidRDefault="003102D7" w:rsidP="0064092D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Veinte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(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120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 días calendario computables a partir de la fecha de Presentación de Propuestas, por un monto equivalente de al menos Uno (1) % del valor total de la propuesta económica.</w:t>
            </w:r>
          </w:p>
          <w:p w:rsidR="003102D7" w:rsidRDefault="003102D7" w:rsidP="0064092D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3102D7" w:rsidRPr="004369C6" w:rsidRDefault="003102D7" w:rsidP="0064092D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Veinte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(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120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  días calendario computables a partir de la fecha de Presentación de Propuestas, por un monto equivalente de al menos Uno (1) % del valor total la propuesta económica.</w:t>
            </w:r>
          </w:p>
          <w:p w:rsidR="003102D7" w:rsidRDefault="003102D7" w:rsidP="0064092D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3102D7" w:rsidRPr="004369C6" w:rsidRDefault="003102D7" w:rsidP="0064092D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Póliza de caución a Primer requerimiento para Entidades Públicas,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Veinte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(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120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  días calendario computables a partir de la fecha de Presentación de Propuestas, por un monto equivalente de al menos Uno (1) % del valor total de la propuesta económica.</w:t>
            </w:r>
          </w:p>
          <w:p w:rsidR="003102D7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</w:pPr>
          </w:p>
          <w:p w:rsidR="003102D7" w:rsidRPr="005B78C0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A DE CUMPLIMIENTO DE CONTRATO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 xml:space="preserve">. </w:t>
            </w:r>
          </w:p>
          <w:p w:rsidR="003102D7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 elección de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l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empresa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adjudicada, ésta podrá optar por uno de los siguientes instrumentos financieros:</w:t>
            </w:r>
          </w:p>
          <w:p w:rsidR="003102D7" w:rsidRPr="005B78C0" w:rsidRDefault="003102D7" w:rsidP="0064092D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3102D7" w:rsidRDefault="003102D7" w:rsidP="0064092D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Garantía,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Bolivianos/YPFB, con características expresas de renovable, irrevocable y de ejecución inmediata con vigencia de 60 días calendario adicionales a la vigencia del contrato, por un monto equivalente al 7% del valor total del contrato.</w:t>
            </w:r>
          </w:p>
          <w:p w:rsidR="003102D7" w:rsidRDefault="003102D7" w:rsidP="0064092D">
            <w:p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3102D7" w:rsidRDefault="003102D7" w:rsidP="0064092D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Bancaria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del Estado Plurinacional de Bolivia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con estructura de alcance a nivel nacional, registrada,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autorizada y bajo el control de la Autoridad de Supervisión del Sistema Financiero-ASFI, a la orden/a favor de Yacimientos Petrolíferos Fiscales Bolivianos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/YPFB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con características expresas de renovable, irrevocable y de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lastRenderedPageBreak/>
              <w:t>ejecución a primer requerimiento con vigencia de sesenta (60) días calendario adicionales a la vigencia del contrato, por un importe equivalente al 7% del valor total del contrato.</w:t>
            </w:r>
          </w:p>
          <w:p w:rsidR="003102D7" w:rsidRDefault="003102D7" w:rsidP="0064092D">
            <w:pPr>
              <w:pStyle w:val="Prrafodelista"/>
              <w:ind w:left="171" w:hanging="171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</w:p>
          <w:p w:rsidR="003102D7" w:rsidRPr="00472B8C" w:rsidRDefault="003102D7" w:rsidP="003102D7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8004EB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Póliza de caución a Primer requerimiento para Entidades Públicas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>, emitida por una empresa aseguradora del Estado Plurinacional de Bolivia , registrada, autorizada y bajo el control de la Autoridad de Fiscalización y Control de Pensiones y Seguros a la orden/a favor de Yacimientos Petrolíferos Fiscales Bolivianos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/YPFB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>, con las características expresas de renovable, irrevocable y de ejecución a primer requerim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iento con vigencia de 60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días calendario adicionales a la vigencia del contrato, por un 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monto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equivalente al 7% del valor total del contrato.</w:t>
            </w:r>
          </w:p>
          <w:p w:rsidR="00472B8C" w:rsidRPr="00472B8C" w:rsidRDefault="00472B8C" w:rsidP="00472B8C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</w:p>
          <w:p w:rsidR="00472B8C" w:rsidRPr="00472B8C" w:rsidRDefault="00472B8C" w:rsidP="00472B8C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</w:pPr>
            <w:r w:rsidRPr="00472B8C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GARANTÍA DE CORRECTA INVERSIÓN DE ANTICIPO</w:t>
            </w:r>
          </w:p>
          <w:p w:rsidR="00472B8C" w:rsidRPr="00472B8C" w:rsidRDefault="00472B8C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472B8C">
              <w:rPr>
                <w:rFonts w:ascii="Calibri" w:hAnsi="Calibri" w:cs="Calibri"/>
                <w:sz w:val="22"/>
                <w:szCs w:val="22"/>
                <w:lang w:val="es-BO"/>
              </w:rPr>
              <w:t>A elección de la empresa adjudicada,  ésta podrá optar por uno de los siguientes instrumentos financieros:</w:t>
            </w:r>
          </w:p>
          <w:p w:rsidR="00472B8C" w:rsidRDefault="00472B8C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</w:p>
          <w:p w:rsidR="00472B8C" w:rsidRPr="001B4DB3" w:rsidRDefault="00472B8C" w:rsidP="001B4DB3">
            <w:pPr>
              <w:pStyle w:val="Prrafodelista"/>
              <w:numPr>
                <w:ilvl w:val="0"/>
                <w:numId w:val="36"/>
              </w:numPr>
              <w:ind w:left="171" w:hanging="218"/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1B4DB3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Boleta de Garantía,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emitida por una Entidad de Intermediación Financiera </w:t>
            </w:r>
            <w:r w:rsidRPr="00684202">
              <w:rPr>
                <w:rFonts w:ascii="Calibri" w:hAnsi="Calibri" w:cs="Calibri"/>
                <w:sz w:val="22"/>
                <w:szCs w:val="22"/>
                <w:lang w:val="es-BO"/>
              </w:rPr>
              <w:t>(Bancaria)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del Estado Plurinacional de Bolivia con estructura de alcance a nivel nacional, registrada, autorizada y bajo el control de la Autoridad de Supervisión del Sistema Financiero – </w:t>
            </w:r>
            <w:proofErr w:type="spellStart"/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>ASFI</w:t>
            </w:r>
            <w:proofErr w:type="spellEnd"/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, a la orden/a favor de Yacimientos Petrolíferos Fiscales Bolivianos / YPFB, con características expresas de renovable, irrevocable y de ejecución inmediata con vigencia de </w:t>
            </w:r>
            <w:r w:rsidR="00F93627">
              <w:rPr>
                <w:rFonts w:ascii="Calibri" w:hAnsi="Calibri" w:cs="Calibri"/>
                <w:sz w:val="22"/>
                <w:szCs w:val="22"/>
                <w:lang w:val="es-BO"/>
              </w:rPr>
              <w:t>90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días calendario, computables a partir de la fecha de su emisión, por un monto equivalente al cien por ciento (100%) del anticipo otorgado.</w:t>
            </w:r>
          </w:p>
          <w:p w:rsidR="00472B8C" w:rsidRDefault="00472B8C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</w:p>
          <w:p w:rsidR="00472B8C" w:rsidRPr="00472B8C" w:rsidRDefault="00472B8C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472B8C">
              <w:rPr>
                <w:rFonts w:ascii="Calibri" w:hAnsi="Calibri" w:cs="Calibri"/>
                <w:sz w:val="22"/>
                <w:szCs w:val="22"/>
                <w:lang w:val="es-BO"/>
              </w:rPr>
              <w:t xml:space="preserve">Esta garantía deberá permanecer vigente hasta la recuperación del 100% del anticipo otorgado.  </w:t>
            </w:r>
          </w:p>
          <w:p w:rsidR="00472B8C" w:rsidRPr="00436BD1" w:rsidRDefault="00472B8C" w:rsidP="00472B8C">
            <w:pPr>
              <w:jc w:val="both"/>
              <w:rPr>
                <w:sz w:val="20"/>
                <w:szCs w:val="20"/>
              </w:rPr>
            </w:pPr>
          </w:p>
          <w:p w:rsidR="00472B8C" w:rsidRPr="001B4DB3" w:rsidRDefault="00472B8C" w:rsidP="001B4DB3">
            <w:pPr>
              <w:pStyle w:val="Prrafodelista"/>
              <w:numPr>
                <w:ilvl w:val="0"/>
                <w:numId w:val="36"/>
              </w:numPr>
              <w:ind w:left="171" w:hanging="218"/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1B4DB3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Garantía a Primer Requerimiento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, emitida por una Entidad de Intermediación Financiera </w:t>
            </w:r>
            <w:r w:rsidRPr="001B4DB3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(Bancaria)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del Estado Plurinacional de Bolivia con estructura de alcance a nivel nacional, registrada, autorizada y bajo el control de la Autoridad de Supervisión del Sistema Financiero – </w:t>
            </w:r>
            <w:proofErr w:type="spellStart"/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>ASFI</w:t>
            </w:r>
            <w:proofErr w:type="spellEnd"/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, a la orden/a favor de Yacimientos Petrolíferos Fiscales Bolivianos / YPFB, con características expresas de renovable, irrevocable y de ejecución a primer requerimiento con vigencia de </w:t>
            </w:r>
            <w:r w:rsidR="00BB0C06">
              <w:rPr>
                <w:rFonts w:ascii="Calibri" w:hAnsi="Calibri" w:cs="Calibri"/>
                <w:sz w:val="22"/>
                <w:szCs w:val="22"/>
                <w:lang w:val="es-BO"/>
              </w:rPr>
              <w:t>90</w:t>
            </w:r>
            <w:r w:rsidRPr="001B4DB3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días calendarios, computables a partir de la fecha de su emisión, por un monto equivalente al cien por ciento (100%) del anticipo otorgado.</w:t>
            </w:r>
          </w:p>
          <w:p w:rsidR="00D709BE" w:rsidRDefault="00D709BE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</w:p>
          <w:p w:rsidR="00472B8C" w:rsidRPr="00472B8C" w:rsidRDefault="00472B8C" w:rsidP="00472B8C">
            <w:pPr>
              <w:jc w:val="both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472B8C">
              <w:rPr>
                <w:rFonts w:ascii="Calibri" w:hAnsi="Calibri" w:cs="Calibri"/>
                <w:sz w:val="22"/>
                <w:szCs w:val="22"/>
                <w:lang w:val="es-BO"/>
              </w:rPr>
              <w:t xml:space="preserve">Esta garantía deberá permanecer vigente hasta la recuperación del 100% del anticipo otorgado.  </w:t>
            </w:r>
          </w:p>
          <w:p w:rsidR="00472B8C" w:rsidRPr="00174481" w:rsidRDefault="00472B8C" w:rsidP="00472B8C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</w:p>
        </w:tc>
      </w:tr>
    </w:tbl>
    <w:p w:rsidR="003102D7" w:rsidRPr="003102D7" w:rsidRDefault="003102D7" w:rsidP="00653D86">
      <w:pPr>
        <w:rPr>
          <w:rFonts w:ascii="Calibri" w:hAnsi="Calibri" w:cs="Calibri"/>
          <w:b/>
          <w:bCs/>
          <w:color w:val="000000"/>
          <w:sz w:val="22"/>
          <w:szCs w:val="22"/>
          <w:lang w:val="es-BO"/>
        </w:rPr>
      </w:pPr>
    </w:p>
    <w:p w:rsidR="003102D7" w:rsidRDefault="003102D7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Default="00C60FD0" w:rsidP="00653D8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C60FD0" w:rsidRPr="002B6357" w:rsidRDefault="00C60FD0" w:rsidP="00C60FD0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2B6357">
        <w:rPr>
          <w:rFonts w:ascii="Calibri" w:hAnsi="Calibri" w:cs="Arial"/>
          <w:b/>
          <w:bCs/>
          <w:sz w:val="22"/>
          <w:szCs w:val="22"/>
        </w:rPr>
        <w:lastRenderedPageBreak/>
        <w:t xml:space="preserve">INSTRUCCIONES PARA LA </w:t>
      </w:r>
      <w:r w:rsidR="00BB0C06" w:rsidRPr="002B6357">
        <w:rPr>
          <w:rFonts w:ascii="Calibri" w:hAnsi="Calibri" w:cs="Arial"/>
          <w:b/>
          <w:bCs/>
          <w:sz w:val="22"/>
          <w:szCs w:val="22"/>
        </w:rPr>
        <w:t>EMISIÓN</w:t>
      </w:r>
      <w:r w:rsidRPr="002B6357">
        <w:rPr>
          <w:rFonts w:ascii="Calibri" w:hAnsi="Calibri" w:cs="Arial"/>
          <w:b/>
          <w:bCs/>
          <w:sz w:val="22"/>
          <w:szCs w:val="22"/>
        </w:rPr>
        <w:t xml:space="preserve"> DE INSTRUMENTOS FINANCIEROS – V.2</w:t>
      </w:r>
    </w:p>
    <w:p w:rsidR="00C60FD0" w:rsidRPr="002B6357" w:rsidRDefault="00C60FD0" w:rsidP="00C60FD0">
      <w:pPr>
        <w:jc w:val="both"/>
        <w:rPr>
          <w:rFonts w:ascii="Calibri" w:hAnsi="Calibri" w:cs="Arial"/>
          <w:sz w:val="22"/>
          <w:szCs w:val="22"/>
        </w:rPr>
      </w:pPr>
      <w:r w:rsidRPr="002B6357">
        <w:rPr>
          <w:rFonts w:ascii="Calibri" w:hAnsi="Calibri" w:cs="Arial"/>
          <w:sz w:val="22"/>
          <w:szCs w:val="22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2B6357">
        <w:rPr>
          <w:rFonts w:ascii="Calibri" w:hAnsi="Calibri" w:cs="Arial"/>
          <w:sz w:val="22"/>
          <w:szCs w:val="22"/>
          <w:u w:val="single"/>
        </w:rPr>
        <w:t>cumpliendo obligatoriamente</w:t>
      </w:r>
      <w:r w:rsidRPr="002B6357">
        <w:rPr>
          <w:rFonts w:ascii="Calibri" w:hAnsi="Calibri" w:cs="Arial"/>
          <w:sz w:val="22"/>
          <w:szCs w:val="22"/>
        </w:rPr>
        <w:t xml:space="preserve"> con las siguientes condiciones:</w:t>
      </w:r>
    </w:p>
    <w:p w:rsidR="00C60FD0" w:rsidRPr="00C60FD0" w:rsidRDefault="00C60FD0" w:rsidP="00C60FD0">
      <w:pPr>
        <w:jc w:val="both"/>
        <w:rPr>
          <w:rFonts w:ascii="Calibri" w:hAnsi="Calibri" w:cs="Arial"/>
          <w:sz w:val="10"/>
          <w:szCs w:val="10"/>
        </w:rPr>
      </w:pPr>
    </w:p>
    <w:tbl>
      <w:tblPr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C60FD0" w:rsidRPr="002B6357" w:rsidTr="00BF472C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pStyle w:val="Prrafodelista"/>
              <w:ind w:left="0"/>
              <w:jc w:val="center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pStyle w:val="Prrafodelista"/>
              <w:ind w:left="0"/>
              <w:jc w:val="center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INSTRUCCIÓN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Style w:val="nfasis"/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Se aceptará 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únicamente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los instrumentos detallados en el presente anexo.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OBJETO DE LA GARANTÍA</w:t>
            </w:r>
          </w:p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i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 xml:space="preserve"> (“Para Garantizar:”)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Debe consignar correctamente y de manera explícita, 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textual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y 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completa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: </w:t>
            </w:r>
          </w:p>
          <w:p w:rsidR="00C60FD0" w:rsidRPr="002B6357" w:rsidRDefault="00C60FD0" w:rsidP="00C60FD0">
            <w:pPr>
              <w:numPr>
                <w:ilvl w:val="0"/>
                <w:numId w:val="30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>Objeto a garantizar (“Garantía según el objeto”)</w:t>
            </w:r>
            <w:r w:rsidRPr="002B6357">
              <w:rPr>
                <w:rStyle w:val="Refdenotaalpie"/>
                <w:rFonts w:ascii="Calibri" w:hAnsi="Calibri" w:cstheme="minorHAnsi"/>
                <w:b/>
                <w:sz w:val="21"/>
                <w:szCs w:val="21"/>
              </w:rPr>
              <w:footnoteReference w:id="1"/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conforme lo requerido en el presente anexo.</w:t>
            </w:r>
          </w:p>
          <w:p w:rsidR="00C60FD0" w:rsidRPr="002B6357" w:rsidRDefault="00C60FD0" w:rsidP="00C60FD0">
            <w:pPr>
              <w:numPr>
                <w:ilvl w:val="0"/>
                <w:numId w:val="30"/>
              </w:numPr>
              <w:jc w:val="both"/>
              <w:rPr>
                <w:rFonts w:ascii="Calibri" w:hAnsi="Calibri" w:cstheme="minorHAnsi"/>
                <w:b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 xml:space="preserve">Nombre (Objeto de la Contratación) y/o código 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>del proceso de contratación, conforme al registrado en la página web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>:</w:t>
            </w:r>
          </w:p>
          <w:p w:rsidR="00C60FD0" w:rsidRPr="002B6357" w:rsidRDefault="00C60FD0" w:rsidP="00BF472C">
            <w:pPr>
              <w:ind w:left="360"/>
              <w:jc w:val="both"/>
              <w:rPr>
                <w:rFonts w:ascii="Calibri" w:hAnsi="Calibri" w:cstheme="minorHAnsi"/>
                <w:b/>
                <w:i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i/>
                <w:sz w:val="21"/>
                <w:szCs w:val="21"/>
              </w:rPr>
              <w:t>http://contrataciones.ypfb.gob.bo/contrataciones/publicacion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Debe consignar el nombre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plenamente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consistente o concordante con el registrado en el Formulario A-1 (campo: 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Nombre o Razón Social del Proponente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). Para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empresas unipersonales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podrá figurar alternativamente el nombre del Contribuyente (NIT).</w:t>
            </w:r>
          </w:p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Asimismo, el 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Nombre o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 xml:space="preserve">Razón Social del Proponente 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(Empresa) deberá estar respaldado por los registrados en los siguientes documentos, según corresponda al documento requerido en el </w:t>
            </w:r>
            <w:proofErr w:type="spellStart"/>
            <w:r w:rsidRPr="002B6357">
              <w:rPr>
                <w:rFonts w:ascii="Calibri" w:hAnsi="Calibri" w:cstheme="minorHAnsi"/>
                <w:sz w:val="21"/>
                <w:szCs w:val="21"/>
              </w:rPr>
              <w:t>DBC</w:t>
            </w:r>
            <w:proofErr w:type="spellEnd"/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o </w:t>
            </w:r>
            <w:proofErr w:type="spellStart"/>
            <w:r w:rsidRPr="002B6357">
              <w:rPr>
                <w:rFonts w:ascii="Calibri" w:hAnsi="Calibri" w:cstheme="minorHAnsi"/>
                <w:sz w:val="21"/>
                <w:szCs w:val="21"/>
              </w:rPr>
              <w:t>DCD</w:t>
            </w:r>
            <w:proofErr w:type="spellEnd"/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o </w:t>
            </w:r>
            <w:proofErr w:type="spellStart"/>
            <w:r w:rsidRPr="002B6357">
              <w:rPr>
                <w:rFonts w:ascii="Calibri" w:hAnsi="Calibri" w:cstheme="minorHAnsi"/>
                <w:sz w:val="21"/>
                <w:szCs w:val="21"/>
              </w:rPr>
              <w:t>EETT</w:t>
            </w:r>
            <w:proofErr w:type="spellEnd"/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o </w:t>
            </w:r>
            <w:proofErr w:type="spellStart"/>
            <w:r w:rsidRPr="002B6357">
              <w:rPr>
                <w:rFonts w:ascii="Calibri" w:hAnsi="Calibri" w:cstheme="minorHAnsi"/>
                <w:sz w:val="21"/>
                <w:szCs w:val="21"/>
              </w:rPr>
              <w:t>TDRs</w:t>
            </w:r>
            <w:proofErr w:type="spellEnd"/>
            <w:r w:rsidRPr="002B6357">
              <w:rPr>
                <w:rFonts w:ascii="Calibri" w:hAnsi="Calibri" w:cstheme="minorHAnsi"/>
                <w:sz w:val="21"/>
                <w:szCs w:val="21"/>
              </w:rPr>
              <w:t>:</w:t>
            </w:r>
          </w:p>
          <w:p w:rsidR="00C60FD0" w:rsidRPr="002B6357" w:rsidRDefault="00C60FD0" w:rsidP="00C60FD0">
            <w:pPr>
              <w:numPr>
                <w:ilvl w:val="0"/>
                <w:numId w:val="31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Registros FUNDEMPRESA, (o equivalente en el país de origen); o</w:t>
            </w:r>
          </w:p>
          <w:p w:rsidR="00C60FD0" w:rsidRPr="002B6357" w:rsidRDefault="00C60FD0" w:rsidP="00C60FD0">
            <w:pPr>
              <w:numPr>
                <w:ilvl w:val="0"/>
                <w:numId w:val="31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Instrumento de Constitución.</w:t>
            </w:r>
          </w:p>
        </w:tc>
      </w:tr>
      <w:tr w:rsidR="00C60FD0" w:rsidRPr="002B6357" w:rsidTr="00BF472C">
        <w:trPr>
          <w:trHeight w:val="72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Debe consignar:</w:t>
            </w:r>
          </w:p>
          <w:p w:rsidR="00C60FD0" w:rsidRPr="002B6357" w:rsidRDefault="00C60FD0" w:rsidP="00C60FD0">
            <w:pPr>
              <w:pStyle w:val="Prrafodelista"/>
              <w:numPr>
                <w:ilvl w:val="0"/>
                <w:numId w:val="32"/>
              </w:numPr>
              <w:ind w:left="357" w:hanging="357"/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YACIMIENTOS PETROLIFEROS FISCALES BOLIVIANOS;</w:t>
            </w:r>
          </w:p>
          <w:p w:rsidR="00C60FD0" w:rsidRPr="002B6357" w:rsidRDefault="00C60FD0" w:rsidP="00C60FD0">
            <w:pPr>
              <w:pStyle w:val="Prrafodelista"/>
              <w:numPr>
                <w:ilvl w:val="0"/>
                <w:numId w:val="32"/>
              </w:numPr>
              <w:ind w:left="357" w:hanging="357"/>
              <w:jc w:val="both"/>
              <w:rPr>
                <w:rFonts w:ascii="Calibri" w:hAnsi="Calibri" w:cstheme="minorHAnsi"/>
                <w:i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YPFB;</w:t>
            </w:r>
          </w:p>
          <w:p w:rsidR="00C60FD0" w:rsidRPr="002B6357" w:rsidRDefault="00C60FD0" w:rsidP="00C60FD0">
            <w:pPr>
              <w:pStyle w:val="Prrafodelista"/>
              <w:numPr>
                <w:ilvl w:val="0"/>
                <w:numId w:val="32"/>
              </w:numPr>
              <w:ind w:left="357" w:hanging="357"/>
              <w:jc w:val="both"/>
              <w:rPr>
                <w:rFonts w:ascii="Calibri" w:hAnsi="Calibri" w:cstheme="minorHAnsi"/>
                <w:i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o ambos.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Debe consignar el valor/importe/monto correctamente calculado, conforme el presente anexo y la “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Garantía según el objeto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” requerida, considerando el </w:t>
            </w:r>
            <w:proofErr w:type="spellStart"/>
            <w:r w:rsidRPr="002B6357">
              <w:rPr>
                <w:rFonts w:ascii="Calibri" w:hAnsi="Calibri" w:cstheme="minorHAnsi"/>
                <w:sz w:val="21"/>
                <w:szCs w:val="21"/>
              </w:rPr>
              <w:t>inc</w:t>
            </w:r>
            <w:proofErr w:type="spellEnd"/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c) de los Aspectos Subsanables del DBC o DCD.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Debe consignar una vigencia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igual o mayor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a la requerida en el presente Anexo, </w:t>
            </w:r>
          </w:p>
          <w:p w:rsidR="00C60FD0" w:rsidRPr="002B6357" w:rsidRDefault="00C60FD0" w:rsidP="00C60FD0">
            <w:pPr>
              <w:numPr>
                <w:ilvl w:val="0"/>
                <w:numId w:val="33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Para la Garantía de Seriedad de Propuesta: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(120 días) computable a partir de la 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“Fecha de presentación de propuesta”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, establecida en el 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>“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</w:rPr>
              <w:t>Cronograma de Plazos”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incluidos como parte del DBC y considerando los Aspectos Subsanables admisibles en dicho documento. </w:t>
            </w:r>
          </w:p>
          <w:p w:rsidR="00C60FD0" w:rsidRPr="002B6357" w:rsidRDefault="00C60FD0" w:rsidP="00C60FD0">
            <w:pPr>
              <w:numPr>
                <w:ilvl w:val="0"/>
                <w:numId w:val="33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Para Garantía de Cumplimiento de Contrato y otras Garantías (DS 29506 y DS 181):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 xml:space="preserve"> 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conforme los días requeridos en el presente anexo, computables a partir de la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fecha de emisión de los instrumentos financieros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>, entendiéndose la “</w:t>
            </w:r>
            <w:r w:rsidRPr="002B6357">
              <w:rPr>
                <w:rFonts w:ascii="Calibri" w:hAnsi="Calibri" w:cstheme="minorHAnsi"/>
                <w:b/>
                <w:i/>
                <w:sz w:val="21"/>
                <w:szCs w:val="21"/>
                <w:u w:val="single"/>
              </w:rPr>
              <w:t>Vigencia del contrato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</w:rPr>
              <w:t xml:space="preserve">” 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como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 xml:space="preserve">la fecha resultante de </w:t>
            </w:r>
            <w:r w:rsidRPr="002B6357">
              <w:rPr>
                <w:rFonts w:ascii="Calibri" w:hAnsi="Calibri" w:cstheme="minorHAnsi"/>
                <w:b/>
                <w:sz w:val="21"/>
                <w:szCs w:val="21"/>
                <w:u w:val="single"/>
              </w:rPr>
              <w:t>adicionar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 xml:space="preserve"> el “</w:t>
            </w:r>
            <w:r w:rsidRPr="002B6357">
              <w:rPr>
                <w:rFonts w:ascii="Calibri" w:hAnsi="Calibri" w:cstheme="minorHAnsi"/>
                <w:i/>
                <w:sz w:val="21"/>
                <w:szCs w:val="21"/>
                <w:u w:val="single"/>
              </w:rPr>
              <w:t>Plazo de entrega”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 xml:space="preserve"> establecido en el DBC o DCD, a dicha fecha de emisión.</w:t>
            </w:r>
          </w:p>
        </w:tc>
      </w:tr>
      <w:tr w:rsidR="00C60FD0" w:rsidRPr="002B6357" w:rsidTr="00BF472C"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FD0" w:rsidRPr="002B6357" w:rsidRDefault="00C60FD0" w:rsidP="00BF472C">
            <w:pPr>
              <w:pStyle w:val="Prrafodelista"/>
              <w:ind w:left="0"/>
              <w:jc w:val="both"/>
              <w:rPr>
                <w:rFonts w:ascii="Calibri" w:hAnsi="Calibri" w:cstheme="minorHAnsi"/>
                <w:b/>
                <w:bCs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FD0" w:rsidRPr="002B6357" w:rsidRDefault="00C60FD0" w:rsidP="00BF472C">
            <w:p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>Debe incluir las cláusulas de:</w:t>
            </w:r>
          </w:p>
          <w:p w:rsidR="00C60FD0" w:rsidRPr="002B6357" w:rsidRDefault="00C60FD0" w:rsidP="00C60FD0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1"/>
                <w:szCs w:val="21"/>
              </w:rPr>
            </w:pP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Renovable, irrevocable y de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ejecución inmediata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o </w:t>
            </w:r>
            <w:r w:rsidRPr="002B6357">
              <w:rPr>
                <w:rFonts w:ascii="Calibri" w:hAnsi="Calibri" w:cstheme="minorHAnsi"/>
                <w:sz w:val="21"/>
                <w:szCs w:val="21"/>
                <w:u w:val="single"/>
              </w:rPr>
              <w:t>ejecución a primer requerimiento</w:t>
            </w:r>
            <w:r w:rsidRPr="002B6357">
              <w:rPr>
                <w:rFonts w:ascii="Calibri" w:hAnsi="Calibri" w:cstheme="minorHAnsi"/>
                <w:sz w:val="21"/>
                <w:szCs w:val="21"/>
              </w:rPr>
              <w:t xml:space="preserve"> según corresponda al Instrumento Financiero requerido en el presente Anexo. </w:t>
            </w:r>
          </w:p>
        </w:tc>
      </w:tr>
    </w:tbl>
    <w:p w:rsidR="00C60FD0" w:rsidRPr="002B6357" w:rsidRDefault="00C60FD0" w:rsidP="00C60FD0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2B6357">
        <w:rPr>
          <w:rFonts w:ascii="Calibri" w:hAnsi="Calibri"/>
          <w:b/>
          <w:sz w:val="22"/>
          <w:szCs w:val="22"/>
        </w:rPr>
        <w:t>NOTA: EL INCUMPLIMIENTO DE LOS PARAMETROS ESTABLECIDOS PRECEDENTEMENTE,</w:t>
      </w:r>
    </w:p>
    <w:p w:rsidR="00C60FD0" w:rsidRPr="002B6357" w:rsidRDefault="00C60FD0" w:rsidP="00C60FD0">
      <w:pPr>
        <w:widowControl w:val="0"/>
        <w:jc w:val="center"/>
        <w:rPr>
          <w:rFonts w:ascii="Calibri" w:hAnsi="Calibri"/>
          <w:sz w:val="22"/>
          <w:szCs w:val="22"/>
        </w:rPr>
      </w:pPr>
      <w:r w:rsidRPr="002B6357">
        <w:rPr>
          <w:rFonts w:ascii="Calibri" w:hAnsi="Calibri"/>
          <w:b/>
          <w:sz w:val="22"/>
          <w:szCs w:val="22"/>
          <w:u w:val="single"/>
        </w:rPr>
        <w:t>NO DARÁ LUGAR A SUBSANACION ALGUNA</w:t>
      </w:r>
      <w:r w:rsidRPr="002B6357">
        <w:rPr>
          <w:rFonts w:ascii="Calibri" w:hAnsi="Calibri"/>
          <w:sz w:val="22"/>
          <w:szCs w:val="22"/>
        </w:rPr>
        <w:t xml:space="preserve">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FACTURACIÓN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570" w:rsidRDefault="00B10570" w:rsidP="00B1057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factura debe ser emitida de acuerdo a normativa vigente a nombre de Yacimientos Petrolíferos Fiscales Bolivianos consignando el Número de Identificación Tributaria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) 1020269020. </w:t>
            </w:r>
          </w:p>
          <w:p w:rsidR="00CE7CDA" w:rsidRDefault="00CE7CDA" w:rsidP="00CE7CD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</w:p>
          <w:p w:rsidR="00CE7CDA" w:rsidRDefault="00B10570" w:rsidP="00CE7CDA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 xml:space="preserve"> momento de la entrega de la totalidad de los bienes conforme lo establecido contractualmente.</w:t>
            </w: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B10570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B10570" w:rsidRDefault="00B10570" w:rsidP="00B1057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</w:p>
          <w:p w:rsidR="00414904" w:rsidRPr="003102D7" w:rsidRDefault="00414904" w:rsidP="003102D7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</w:tc>
      </w:tr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B2" w:rsidRDefault="000F3CB2" w:rsidP="000F3CB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bookmarkStart w:id="0" w:name="_GoBack"/>
            <w:bookmarkEnd w:id="0"/>
          </w:p>
          <w:p w:rsidR="00CE7CDA" w:rsidRPr="00CE7CDA" w:rsidRDefault="00CE7CDA" w:rsidP="00CE7CD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</w:tc>
      </w:tr>
      <w:tr w:rsidR="00AF2C32" w:rsidRPr="00340FB3" w:rsidTr="00AF2C32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F2C32" w:rsidRPr="001C60B6" w:rsidRDefault="00AF2C32" w:rsidP="00AF2C32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6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SEGUROS.</w:t>
            </w:r>
          </w:p>
        </w:tc>
      </w:tr>
      <w:tr w:rsidR="00AF2C32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C32" w:rsidRDefault="00AF2C32" w:rsidP="00AF2C32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 empresa adjudicada, deberá</w:t>
            </w: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 presentar y mantener vigente de forma ininterrumpida durante todo el periodo del contrato, las pólizas de seguros especificadas a continuación:</w:t>
            </w: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 </w:t>
            </w:r>
          </w:p>
          <w:p w:rsidR="00AF2C32" w:rsidRDefault="00AF2C32" w:rsidP="00AF2C32">
            <w:pPr>
              <w:pStyle w:val="NormalWeb"/>
              <w:numPr>
                <w:ilvl w:val="0"/>
                <w:numId w:val="18"/>
              </w:numP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Póliza de Accidentes Personales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AF2C32" w:rsidRDefault="00AF2C32" w:rsidP="00AF2C32">
            <w:pPr>
              <w:pStyle w:val="NormalWeb"/>
              <w:ind w:left="720"/>
              <w:jc w:val="both"/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Todos los trabajadores, funcionarios y empleados del contratista, estarán cubiertos bajo el Seguro de la Póliza de Accidentes Personales (que cubre gastos médicos  invalidez parcial permanente, invalidez total y permanente y muerte), por lesiones corporales sufridas como consecuencia directa e inmediata de los accidentes que ocurran en el desempeño de su trabajo.</w:t>
            </w:r>
          </w:p>
          <w:p w:rsidR="00AF2C32" w:rsidRDefault="00AF2C32" w:rsidP="00AF2C32">
            <w:pPr>
              <w:pStyle w:val="NormalWeb"/>
              <w:ind w:left="720"/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</w:p>
          <w:p w:rsidR="00AF2C32" w:rsidRPr="00316A20" w:rsidRDefault="00AF2C32" w:rsidP="00AF2C32">
            <w:pPr>
              <w:pStyle w:val="NormalWeb"/>
              <w:numPr>
                <w:ilvl w:val="0"/>
                <w:numId w:val="18"/>
              </w:numPr>
              <w:rPr>
                <w:rStyle w:val="nfasis"/>
                <w:rFonts w:ascii="Calibri" w:hAnsi="Calibri"/>
                <w:iCs w:val="0"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Póliza de Seguro de Automotores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AF2C32" w:rsidRPr="00316A20" w:rsidRDefault="00AF2C32" w:rsidP="00AF2C32">
            <w:pPr>
              <w:pStyle w:val="NormalWeb"/>
              <w:ind w:left="7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Todos los vehículos propios, no  propios y alquilados por cuenta de la empresa adjudicada, deberán de estar cubiertos bajo el Seguro de Automotores que debe incluir la cobertura de Responsabilidad Civil hasta $</w:t>
            </w:r>
            <w:proofErr w:type="spellStart"/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us</w:t>
            </w:r>
            <w:proofErr w:type="spellEnd"/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 xml:space="preserve">. 20.000 y cobertura de Accidentes Personales para los ocupantes y pasajeros de cada vehículo. </w:t>
            </w:r>
            <w:r w:rsidRPr="00316A20">
              <w:rPr>
                <w:rFonts w:ascii="Calibri" w:hAnsi="Calibri"/>
                <w:i/>
                <w:color w:val="000000"/>
                <w:sz w:val="22"/>
                <w:szCs w:val="22"/>
              </w:rPr>
              <w:br/>
            </w: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</w:t>
            </w: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Condiciones Adicionales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 </w:t>
            </w:r>
          </w:p>
          <w:p w:rsidR="00AF2C32" w:rsidRDefault="00AF2C32" w:rsidP="00AF2C32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Las Pólizas de Seguro anteriormente mencionadas, deberán cumplir las siguientes condiciones adicionales:</w:t>
            </w: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AF2C32" w:rsidRPr="001C60B6" w:rsidRDefault="00AF2C32" w:rsidP="00AF2C32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="Calibri" w:eastAsia="Times New Roman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De suspenderse por cualquier razón la vigencia o cobertura de la Póliza nominada precedentemente, o bien se presente la existencia de eventos no cubiertos por la misma; la empresa adjudicada y/o contratista se hace enteramente responsable frente a YPFB y a terceros, por todos los daños emergentes en el desempeño de sus funciones.</w:t>
            </w:r>
          </w:p>
          <w:p w:rsidR="00AF2C32" w:rsidRPr="001C60B6" w:rsidRDefault="00AF2C32" w:rsidP="00AF2C32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</w:t>
            </w:r>
          </w:p>
          <w:p w:rsidR="00AF2C32" w:rsidRPr="00316A20" w:rsidRDefault="00AF2C32" w:rsidP="00AF2C3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El Contratista, una vez adjudicado, deberá entregar una copia  de la citada póliza a YPFB antes de la suscripción del contrato.</w:t>
            </w:r>
          </w:p>
          <w:p w:rsidR="00AF2C32" w:rsidRDefault="00AF2C32" w:rsidP="00AF2C3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F2C32" w:rsidRPr="001C60B6" w:rsidRDefault="00AF2C32" w:rsidP="00AF2C3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96DFD" w:rsidRPr="00340FB3" w:rsidTr="00954D8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96DFD" w:rsidRPr="00423E80" w:rsidRDefault="00796DFD" w:rsidP="00796DFD">
            <w:pPr>
              <w:pStyle w:val="Textoindependiente"/>
              <w:spacing w:after="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lastRenderedPageBreak/>
              <w:t>SEGURIDAD Y SALUD OCUPACIONAL.</w:t>
            </w:r>
          </w:p>
        </w:tc>
      </w:tr>
      <w:tr w:rsidR="00796DFD" w:rsidRPr="006F4488" w:rsidTr="001B7C49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ASPECTOS NORMATIVOS DE SEGURIDAD INDUSTRIAL Y SALUD OCUPACIONAL PARA EMPRESAS C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ONTRATISTAS  DE  YPFB.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</w:pP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El Proponente de la provisión de </w:t>
            </w: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“BIENES”</w:t>
            </w: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 deberá cumplir con los estándares de Seguridad Industrial y Salud Ocupacional de YPFB.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>1.</w:t>
            </w:r>
            <w:r w:rsidRPr="00E46179">
              <w:rPr>
                <w:rFonts w:ascii="Calibri" w:eastAsiaTheme="minorHAnsi" w:hAnsi="Calibri" w:cs="Arial"/>
                <w:color w:val="000000"/>
                <w:sz w:val="22"/>
                <w:szCs w:val="22"/>
                <w:lang w:val="es-BO" w:eastAsia="en-US"/>
              </w:rPr>
              <w:t xml:space="preserve"> </w:t>
            </w: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ASPECTOS GENERALES:</w:t>
            </w: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Para los procesos de contratación de bienes; en caso de que los mismos sean recibidos directamente en los almacenes de YPFB; no aplica una cláusula específica de SMS.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</w:pP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2.</w:t>
            </w:r>
            <w:r w:rsidRPr="00E46179">
              <w:rPr>
                <w:rFonts w:ascii="Calibri" w:eastAsiaTheme="minorHAnsi" w:hAnsi="Calibri" w:cs="Arial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 </w:t>
            </w: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RECOMENDACIONES: 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>Para las tareas complementarias de entrega de bienes en los almacenes de YPFB, la Unidad Solicitante deberá coordinar con la empresa Contratista a efectos de garantizar y prevenir la ocurrencia de accidentes, incidentes y afectaciones al medio ambiente.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</w:pP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2.1</w:t>
            </w:r>
            <w:r w:rsidRPr="00E46179">
              <w:rPr>
                <w:rFonts w:ascii="Calibri" w:eastAsiaTheme="minorHAnsi" w:hAnsi="Calibri" w:cs="Arial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 </w:t>
            </w: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 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2.2</w:t>
            </w:r>
            <w:r w:rsidRPr="00E46179">
              <w:rPr>
                <w:rFonts w:ascii="Calibri" w:eastAsiaTheme="minorHAnsi" w:hAnsi="Calibri" w:cs="Arial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 </w:t>
            </w: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>En caso de Bienes y/o equipos eléctricos/electrónicos, se recomienda verificar de las condiciones de carga y tensión eléctrica en las líneas de suministro y evitar sobre carga en las líneas eléctrica el momento de la instalación y puesta en marcha de los equipos.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eastAsiaTheme="minorHAnsi" w:hAnsi="Calibri"/>
                <w:sz w:val="22"/>
                <w:szCs w:val="22"/>
                <w:lang w:val="es-BO" w:eastAsia="en-US"/>
              </w:rPr>
            </w:pP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 xml:space="preserve"> </w:t>
            </w:r>
          </w:p>
          <w:p w:rsidR="00A90348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hAnsi="Calibri"/>
                <w:sz w:val="22"/>
                <w:szCs w:val="22"/>
                <w:lang w:val="es-BO"/>
              </w:rPr>
            </w:pPr>
            <w:r w:rsidRPr="00E46179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es-BO" w:eastAsia="en-US"/>
              </w:rPr>
              <w:t>2.3</w:t>
            </w:r>
            <w:r w:rsidRPr="00E46179">
              <w:rPr>
                <w:rFonts w:ascii="Calibri" w:eastAsiaTheme="minorHAnsi" w:hAnsi="Calibri" w:cs="Arial"/>
                <w:b/>
                <w:bCs/>
                <w:color w:val="000000"/>
                <w:sz w:val="22"/>
                <w:szCs w:val="22"/>
                <w:lang w:val="es-BO" w:eastAsia="en-US"/>
              </w:rPr>
              <w:t xml:space="preserve"> </w:t>
            </w:r>
            <w:r w:rsidRPr="00E46179">
              <w:rPr>
                <w:rFonts w:ascii="Calibri" w:eastAsiaTheme="minorHAnsi" w:hAnsi="Calibri" w:cs="Calibri"/>
                <w:color w:val="000000"/>
                <w:sz w:val="22"/>
                <w:szCs w:val="22"/>
                <w:lang w:val="es-BO" w:eastAsia="en-US"/>
              </w:rPr>
              <w:t>Las tareas complementarias para la entrega de bienes/equipos/materiales, deberán ser coordinadas con el personal de SMS de la Unidad Solicitante, en estricto cumplimiento de la normativa vigente y las políticas de Seguridad Industrial de YPFB.</w:t>
            </w:r>
          </w:p>
          <w:p w:rsidR="00A90348" w:rsidRPr="00E46179" w:rsidRDefault="00A90348" w:rsidP="00A90348">
            <w:pPr>
              <w:autoSpaceDE w:val="0"/>
              <w:autoSpaceDN w:val="0"/>
              <w:adjustRightInd w:val="0"/>
              <w:ind w:left="209"/>
              <w:jc w:val="both"/>
              <w:rPr>
                <w:rFonts w:ascii="Calibri" w:hAnsi="Calibri"/>
                <w:sz w:val="22"/>
                <w:szCs w:val="22"/>
                <w:lang w:val="es-BO"/>
              </w:rPr>
            </w:pPr>
          </w:p>
          <w:p w:rsidR="00A90348" w:rsidRPr="00E46179" w:rsidRDefault="00A90348" w:rsidP="00A90348">
            <w:pPr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</w:rPr>
              <w:t xml:space="preserve">Entre los requisitos mínimos que la empresa </w:t>
            </w:r>
            <w:r>
              <w:rPr>
                <w:rFonts w:ascii="Calibri" w:hAnsi="Calibri"/>
                <w:sz w:val="22"/>
                <w:szCs w:val="22"/>
              </w:rPr>
              <w:t>contratada</w:t>
            </w:r>
            <w:r w:rsidRPr="00E46179">
              <w:rPr>
                <w:rFonts w:ascii="Calibri" w:hAnsi="Calibri"/>
                <w:sz w:val="22"/>
                <w:szCs w:val="22"/>
              </w:rPr>
              <w:t xml:space="preserve"> deberá cumplir para la habilitación de su personal para ingreso </w:t>
            </w:r>
            <w:r w:rsidR="00000F3D">
              <w:rPr>
                <w:rFonts w:ascii="Calibri" w:hAnsi="Calibri"/>
                <w:sz w:val="22"/>
                <w:szCs w:val="22"/>
              </w:rPr>
              <w:t>a Planta</w:t>
            </w:r>
            <w:r w:rsidRPr="00E46179">
              <w:rPr>
                <w:rFonts w:ascii="Calibri" w:hAnsi="Calibri"/>
                <w:sz w:val="22"/>
                <w:szCs w:val="22"/>
              </w:rPr>
              <w:t xml:space="preserve"> están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:</w:t>
            </w:r>
          </w:p>
          <w:p w:rsidR="00A90348" w:rsidRPr="00E46179" w:rsidRDefault="00A90348" w:rsidP="00A90348">
            <w:pPr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A90348" w:rsidRPr="00E46179" w:rsidRDefault="00A90348" w:rsidP="00A90348">
            <w:pPr>
              <w:numPr>
                <w:ilvl w:val="0"/>
                <w:numId w:val="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Ropa de trabajo (pantalón jean y camisa manga larga, mínimamente 80% algodón), casco de seguridad, botas de seguridad, gafas de seguridad y protector auditivo.</w:t>
            </w:r>
          </w:p>
          <w:p w:rsidR="00A90348" w:rsidRPr="00E46179" w:rsidRDefault="00A90348" w:rsidP="00A90348">
            <w:pPr>
              <w:numPr>
                <w:ilvl w:val="0"/>
                <w:numId w:val="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Seguro de vida y Segu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ro contra accidentes personales (15.000,00 $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s-BO"/>
              </w:rPr>
              <w:t>us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s-BO"/>
              </w:rPr>
              <w:t>)</w:t>
            </w:r>
          </w:p>
          <w:p w:rsidR="00A90348" w:rsidRPr="00E46179" w:rsidRDefault="00A90348" w:rsidP="00A90348">
            <w:pPr>
              <w:numPr>
                <w:ilvl w:val="0"/>
                <w:numId w:val="1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Vacunas vigentes.</w:t>
            </w:r>
          </w:p>
          <w:tbl>
            <w:tblPr>
              <w:tblW w:w="4253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552"/>
            </w:tblGrid>
            <w:tr w:rsidR="00A90348" w:rsidRPr="00E46179" w:rsidTr="004C267A">
              <w:trPr>
                <w:trHeight w:val="248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Tétanos.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Solo para Visitas de 1 día.</w:t>
                  </w: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Fiebre Amarilla.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Solo para contratistas de más de 1 día.</w:t>
                  </w: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Hepatitis B.</w:t>
                  </w:r>
                </w:p>
              </w:tc>
              <w:tc>
                <w:tcPr>
                  <w:tcW w:w="2552" w:type="dxa"/>
                  <w:vMerge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Fiebre Tifoidea.</w:t>
                  </w:r>
                </w:p>
              </w:tc>
              <w:tc>
                <w:tcPr>
                  <w:tcW w:w="2552" w:type="dxa"/>
                  <w:vMerge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</w:p>
              </w:tc>
            </w:tr>
          </w:tbl>
          <w:p w:rsidR="00A90348" w:rsidRPr="00E46179" w:rsidRDefault="00A90348" w:rsidP="00A90348">
            <w:pPr>
              <w:tabs>
                <w:tab w:val="left" w:pos="567"/>
              </w:tabs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A90348" w:rsidRPr="00E46179" w:rsidRDefault="00A90348" w:rsidP="00A90348">
            <w:pPr>
              <w:numPr>
                <w:ilvl w:val="0"/>
                <w:numId w:val="2"/>
              </w:numPr>
              <w:tabs>
                <w:tab w:val="left" w:pos="567"/>
              </w:tabs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Capacitaciones y/o cursos.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A90348" w:rsidRPr="00E46179" w:rsidTr="004C267A">
              <w:trPr>
                <w:trHeight w:val="248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Combate y control de incendios.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Solo para contratistas que realicen actividades que requieran estos cursos.</w:t>
                  </w: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Equipo de protección personal.</w:t>
                  </w: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Comunicación de peligros.</w:t>
                  </w: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</w:p>
              </w:tc>
            </w:tr>
            <w:tr w:rsidR="00A90348" w:rsidRPr="00E46179" w:rsidTr="004C267A">
              <w:trPr>
                <w:trHeight w:val="262"/>
              </w:trPr>
              <w:tc>
                <w:tcPr>
                  <w:tcW w:w="3119" w:type="dxa"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E46179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Primeros auxilios.</w:t>
                  </w: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A90348" w:rsidRPr="00E46179" w:rsidRDefault="00A90348" w:rsidP="00A9034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</w:p>
              </w:tc>
            </w:tr>
          </w:tbl>
          <w:p w:rsidR="00A90348" w:rsidRPr="00E46179" w:rsidRDefault="00A90348" w:rsidP="00A90348">
            <w:pPr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A90348" w:rsidRPr="00E46179" w:rsidRDefault="00A90348" w:rsidP="00A90348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46179">
              <w:rPr>
                <w:rFonts w:ascii="Calibri" w:hAnsi="Calibri"/>
                <w:sz w:val="22"/>
                <w:szCs w:val="22"/>
              </w:rPr>
              <w:lastRenderedPageBreak/>
              <w:t xml:space="preserve">En caso de ser requerido el ingreso de vehículos a Planta, la empresa </w:t>
            </w:r>
            <w:r>
              <w:rPr>
                <w:rFonts w:ascii="Calibri" w:hAnsi="Calibri"/>
                <w:sz w:val="22"/>
                <w:szCs w:val="22"/>
              </w:rPr>
              <w:t>contratada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 al ingreso a Planta</w:t>
            </w:r>
            <w:r w:rsidRPr="00E46179">
              <w:rPr>
                <w:rFonts w:ascii="Calibri" w:hAnsi="Calibri"/>
                <w:sz w:val="22"/>
                <w:szCs w:val="22"/>
              </w:rPr>
              <w:t>: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Antigüedad no mayor a 5 años para vehículo livian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o, de 15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 años para camiones.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proofErr w:type="spellStart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SOAT</w:t>
            </w:r>
            <w:proofErr w:type="spellEnd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, Ibnorca, etc.)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Estar equipados mínimamente con 1 extintor de polvo químico seco tipo ABC de capacidad mínima de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2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Kg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Los autoadhesivos, etiquetas de velocidad máxima y rosetas de inspección técnica de la policía de tránsito y </w:t>
            </w:r>
            <w:proofErr w:type="spellStart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SOAT</w:t>
            </w:r>
            <w:proofErr w:type="spellEnd"/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 deben estar en una posición de no impedir la visibilidad del conductor.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A90348" w:rsidRPr="00E46179" w:rsidRDefault="00A90348" w:rsidP="00A90348">
            <w:pPr>
              <w:numPr>
                <w:ilvl w:val="0"/>
                <w:numId w:val="3"/>
              </w:numPr>
              <w:ind w:left="567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Deberá contar con arresta llamas para ingresar a planta (deseable).</w:t>
            </w:r>
          </w:p>
          <w:p w:rsidR="00A90348" w:rsidRPr="00E46179" w:rsidRDefault="00A90348" w:rsidP="00A90348">
            <w:pPr>
              <w:pStyle w:val="Prrafodelista"/>
              <w:spacing w:after="13"/>
              <w:ind w:left="0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90348" w:rsidRPr="00E46179" w:rsidRDefault="00A90348" w:rsidP="00A90348">
            <w:pPr>
              <w:pStyle w:val="Prrafodelista"/>
              <w:spacing w:after="13"/>
              <w:ind w:left="0"/>
              <w:contextualSpacing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contratada</w:t>
            </w: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 xml:space="preserve"> y validada por personal de SMS de YPFB para garantizar que los mismos estén en buenas condiciones mecánicas y técnicas de funcionamiento previo el ingreso a Planta. </w:t>
            </w:r>
          </w:p>
          <w:p w:rsidR="00A90348" w:rsidRPr="00E46179" w:rsidRDefault="00A90348" w:rsidP="00A90348">
            <w:pPr>
              <w:pStyle w:val="Prrafodelista"/>
              <w:spacing w:after="13"/>
              <w:ind w:left="0"/>
              <w:contextualSpacing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A90348" w:rsidRPr="00E46179" w:rsidRDefault="00A90348" w:rsidP="00A90348">
            <w:pPr>
              <w:numPr>
                <w:ilvl w:val="0"/>
                <w:numId w:val="4"/>
              </w:numPr>
              <w:ind w:left="567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A90348" w:rsidRPr="00E46179" w:rsidRDefault="00A90348" w:rsidP="00A90348">
            <w:pPr>
              <w:numPr>
                <w:ilvl w:val="0"/>
                <w:numId w:val="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E46179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796DFD" w:rsidRPr="00423E80" w:rsidRDefault="00796DFD" w:rsidP="00796DFD">
            <w:pPr>
              <w:autoSpaceDE w:val="0"/>
              <w:autoSpaceDN w:val="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</w:tr>
    </w:tbl>
    <w:p w:rsidR="00A90348" w:rsidRDefault="00A90348" w:rsidP="008B5AEE">
      <w:pPr>
        <w:ind w:right="283"/>
        <w:jc w:val="right"/>
        <w:rPr>
          <w:rFonts w:ascii="Calibri" w:hAnsi="Calibri"/>
          <w:iCs/>
          <w:color w:val="000000"/>
          <w:sz w:val="22"/>
          <w:szCs w:val="22"/>
        </w:rPr>
      </w:pPr>
    </w:p>
    <w:p w:rsidR="008B5AEE" w:rsidRPr="008B5AEE" w:rsidRDefault="001C20C4" w:rsidP="008B5AEE">
      <w:pPr>
        <w:ind w:right="283"/>
        <w:jc w:val="right"/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Santa Cruz, </w:t>
      </w:r>
      <w:r w:rsidR="004C4DF9">
        <w:rPr>
          <w:rFonts w:ascii="Calibri" w:hAnsi="Calibri"/>
          <w:iCs/>
          <w:color w:val="000000"/>
          <w:sz w:val="22"/>
          <w:szCs w:val="22"/>
        </w:rPr>
        <w:t>25</w:t>
      </w:r>
      <w:r w:rsidR="008B5AEE" w:rsidRPr="008B5AEE">
        <w:rPr>
          <w:rFonts w:ascii="Calibri" w:hAnsi="Calibri"/>
          <w:iCs/>
          <w:color w:val="000000"/>
          <w:sz w:val="22"/>
          <w:szCs w:val="22"/>
        </w:rPr>
        <w:t xml:space="preserve"> de </w:t>
      </w:r>
      <w:r w:rsidR="00E913B9">
        <w:rPr>
          <w:rFonts w:ascii="Calibri" w:hAnsi="Calibri"/>
          <w:iCs/>
          <w:color w:val="000000"/>
          <w:sz w:val="22"/>
          <w:szCs w:val="22"/>
        </w:rPr>
        <w:t>Octubre</w:t>
      </w:r>
      <w:r w:rsidR="00A90348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8B5AEE" w:rsidRPr="008B5AEE">
        <w:rPr>
          <w:rFonts w:ascii="Calibri" w:hAnsi="Calibri"/>
          <w:iCs/>
          <w:color w:val="000000"/>
          <w:sz w:val="22"/>
          <w:szCs w:val="22"/>
        </w:rPr>
        <w:t>de 2018</w:t>
      </w:r>
    </w:p>
    <w:sectPr w:rsidR="008B5AEE" w:rsidRPr="008B5AEE" w:rsidSect="008B5AEE">
      <w:pgSz w:w="12242" w:h="15842" w:code="1"/>
      <w:pgMar w:top="1417" w:right="902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08" w:rsidRDefault="002E2008" w:rsidP="00C60FD0">
      <w:r>
        <w:separator/>
      </w:r>
    </w:p>
  </w:endnote>
  <w:endnote w:type="continuationSeparator" w:id="0">
    <w:p w:rsidR="002E2008" w:rsidRDefault="002E2008" w:rsidP="00C6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08" w:rsidRDefault="002E2008" w:rsidP="00C60FD0">
      <w:r>
        <w:separator/>
      </w:r>
    </w:p>
  </w:footnote>
  <w:footnote w:type="continuationSeparator" w:id="0">
    <w:p w:rsidR="002E2008" w:rsidRDefault="002E2008" w:rsidP="00C60FD0">
      <w:r>
        <w:continuationSeparator/>
      </w:r>
    </w:p>
  </w:footnote>
  <w:footnote w:id="1">
    <w:p w:rsidR="00C60FD0" w:rsidRDefault="00C60FD0" w:rsidP="00C60FD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B6357">
        <w:rPr>
          <w:sz w:val="18"/>
          <w:szCs w:val="18"/>
        </w:rPr>
        <w:t>“</w:t>
      </w:r>
      <w:r w:rsidRPr="002B6357">
        <w:rPr>
          <w:rFonts w:ascii="Verdana" w:hAnsi="Verdana" w:cs="Verdana"/>
          <w:bCs/>
          <w:sz w:val="18"/>
          <w:szCs w:val="18"/>
        </w:rPr>
        <w:t>Seriedad de Propuesta”; “Cumplimiento de Contrato”; “Adicional a la Garantía de Cumplimiento de Contrato de Obras”; “Funcionamiento de Maquinaria y/o Equipo”; “Correcta Inversión de Anticipo”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683"/>
    <w:multiLevelType w:val="hybridMultilevel"/>
    <w:tmpl w:val="66E24BE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24BEF"/>
    <w:multiLevelType w:val="hybridMultilevel"/>
    <w:tmpl w:val="BF442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636"/>
    <w:multiLevelType w:val="hybridMultilevel"/>
    <w:tmpl w:val="881E7922"/>
    <w:lvl w:ilvl="0" w:tplc="889080B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E16F5"/>
    <w:multiLevelType w:val="multilevel"/>
    <w:tmpl w:val="27C0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2398452B"/>
    <w:multiLevelType w:val="hybridMultilevel"/>
    <w:tmpl w:val="F92E26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F5E"/>
    <w:multiLevelType w:val="multilevel"/>
    <w:tmpl w:val="AEE07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7B2B"/>
    <w:multiLevelType w:val="hybridMultilevel"/>
    <w:tmpl w:val="CFB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B7F5A"/>
    <w:multiLevelType w:val="hybridMultilevel"/>
    <w:tmpl w:val="52B6884A"/>
    <w:lvl w:ilvl="0" w:tplc="23CC929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A5FFD"/>
    <w:multiLevelType w:val="hybridMultilevel"/>
    <w:tmpl w:val="D2C8BB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1E052F"/>
    <w:multiLevelType w:val="hybridMultilevel"/>
    <w:tmpl w:val="03C88A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445B"/>
    <w:multiLevelType w:val="hybridMultilevel"/>
    <w:tmpl w:val="2472A7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0C2FB1"/>
    <w:multiLevelType w:val="hybridMultilevel"/>
    <w:tmpl w:val="475E5776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C06B9"/>
    <w:multiLevelType w:val="hybridMultilevel"/>
    <w:tmpl w:val="C9E8754A"/>
    <w:lvl w:ilvl="0" w:tplc="40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8" w15:restartNumberingAfterBreak="0">
    <w:nsid w:val="57953512"/>
    <w:multiLevelType w:val="hybridMultilevel"/>
    <w:tmpl w:val="5A80545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D06687F"/>
    <w:multiLevelType w:val="hybridMultilevel"/>
    <w:tmpl w:val="2E1C7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17BF8"/>
    <w:multiLevelType w:val="multilevel"/>
    <w:tmpl w:val="3FA407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53FF9"/>
    <w:multiLevelType w:val="hybridMultilevel"/>
    <w:tmpl w:val="91423C36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2D6E6B"/>
    <w:multiLevelType w:val="hybridMultilevel"/>
    <w:tmpl w:val="85521C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6315D"/>
    <w:multiLevelType w:val="hybridMultilevel"/>
    <w:tmpl w:val="6BE0D69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8474A"/>
    <w:multiLevelType w:val="hybridMultilevel"/>
    <w:tmpl w:val="970A0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51D03"/>
    <w:multiLevelType w:val="hybridMultilevel"/>
    <w:tmpl w:val="5B50686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597756E"/>
    <w:multiLevelType w:val="hybridMultilevel"/>
    <w:tmpl w:val="E86AC7A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3E5075"/>
    <w:multiLevelType w:val="hybridMultilevel"/>
    <w:tmpl w:val="B856402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C65001"/>
    <w:multiLevelType w:val="hybridMultilevel"/>
    <w:tmpl w:val="A15CDFC6"/>
    <w:lvl w:ilvl="0" w:tplc="A2925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8"/>
  </w:num>
  <w:num w:numId="4">
    <w:abstractNumId w:val="22"/>
  </w:num>
  <w:num w:numId="5">
    <w:abstractNumId w:val="19"/>
  </w:num>
  <w:num w:numId="6">
    <w:abstractNumId w:val="30"/>
  </w:num>
  <w:num w:numId="7">
    <w:abstractNumId w:val="9"/>
  </w:num>
  <w:num w:numId="8">
    <w:abstractNumId w:val="32"/>
  </w:num>
  <w:num w:numId="9">
    <w:abstractNumId w:val="12"/>
  </w:num>
  <w:num w:numId="10">
    <w:abstractNumId w:val="28"/>
  </w:num>
  <w:num w:numId="11">
    <w:abstractNumId w:val="25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27"/>
  </w:num>
  <w:num w:numId="18">
    <w:abstractNumId w:val="8"/>
  </w:num>
  <w:num w:numId="19">
    <w:abstractNumId w:val="16"/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29"/>
  </w:num>
  <w:num w:numId="25">
    <w:abstractNumId w:val="31"/>
  </w:num>
  <w:num w:numId="26">
    <w:abstractNumId w:val="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4"/>
  </w:num>
  <w:num w:numId="32">
    <w:abstractNumId w:val="23"/>
  </w:num>
  <w:num w:numId="33">
    <w:abstractNumId w:val="1"/>
  </w:num>
  <w:num w:numId="34">
    <w:abstractNumId w:val="10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60"/>
    <w:rsid w:val="00000F3D"/>
    <w:rsid w:val="000142C2"/>
    <w:rsid w:val="0005377A"/>
    <w:rsid w:val="000B4219"/>
    <w:rsid w:val="000D1057"/>
    <w:rsid w:val="000F3CB2"/>
    <w:rsid w:val="00122380"/>
    <w:rsid w:val="00166AA9"/>
    <w:rsid w:val="00174481"/>
    <w:rsid w:val="001B4DB3"/>
    <w:rsid w:val="001C20C4"/>
    <w:rsid w:val="001C60B6"/>
    <w:rsid w:val="001E26A7"/>
    <w:rsid w:val="00221B9C"/>
    <w:rsid w:val="002262EA"/>
    <w:rsid w:val="0022695C"/>
    <w:rsid w:val="002C2F4D"/>
    <w:rsid w:val="002D0AF2"/>
    <w:rsid w:val="002E2008"/>
    <w:rsid w:val="002F126B"/>
    <w:rsid w:val="003102D7"/>
    <w:rsid w:val="00316A20"/>
    <w:rsid w:val="00347B33"/>
    <w:rsid w:val="00355658"/>
    <w:rsid w:val="0037070A"/>
    <w:rsid w:val="003B4997"/>
    <w:rsid w:val="004137F8"/>
    <w:rsid w:val="00414904"/>
    <w:rsid w:val="004348E0"/>
    <w:rsid w:val="004369C6"/>
    <w:rsid w:val="00472B8C"/>
    <w:rsid w:val="00493DA3"/>
    <w:rsid w:val="004967F7"/>
    <w:rsid w:val="004B3D78"/>
    <w:rsid w:val="004C4DF9"/>
    <w:rsid w:val="004D4C00"/>
    <w:rsid w:val="00542A4F"/>
    <w:rsid w:val="005750B8"/>
    <w:rsid w:val="00576301"/>
    <w:rsid w:val="005818B2"/>
    <w:rsid w:val="005E5300"/>
    <w:rsid w:val="00653D86"/>
    <w:rsid w:val="006636DD"/>
    <w:rsid w:val="00664352"/>
    <w:rsid w:val="00684202"/>
    <w:rsid w:val="006970FD"/>
    <w:rsid w:val="006B303C"/>
    <w:rsid w:val="006D7958"/>
    <w:rsid w:val="007232DA"/>
    <w:rsid w:val="00796DFD"/>
    <w:rsid w:val="008004EB"/>
    <w:rsid w:val="00882844"/>
    <w:rsid w:val="008953ED"/>
    <w:rsid w:val="008B5AEE"/>
    <w:rsid w:val="008E46C5"/>
    <w:rsid w:val="0093748A"/>
    <w:rsid w:val="00997E18"/>
    <w:rsid w:val="009C4BC9"/>
    <w:rsid w:val="009C5389"/>
    <w:rsid w:val="009F64CD"/>
    <w:rsid w:val="00A56B94"/>
    <w:rsid w:val="00A63B2D"/>
    <w:rsid w:val="00A827C2"/>
    <w:rsid w:val="00A846E9"/>
    <w:rsid w:val="00A90348"/>
    <w:rsid w:val="00AB112A"/>
    <w:rsid w:val="00AF2C32"/>
    <w:rsid w:val="00AF718D"/>
    <w:rsid w:val="00B10570"/>
    <w:rsid w:val="00B1676D"/>
    <w:rsid w:val="00B25840"/>
    <w:rsid w:val="00B34A60"/>
    <w:rsid w:val="00B50130"/>
    <w:rsid w:val="00B95DFD"/>
    <w:rsid w:val="00BB0C06"/>
    <w:rsid w:val="00C1586B"/>
    <w:rsid w:val="00C36795"/>
    <w:rsid w:val="00C438FB"/>
    <w:rsid w:val="00C60FD0"/>
    <w:rsid w:val="00C73004"/>
    <w:rsid w:val="00CD2190"/>
    <w:rsid w:val="00CE7CDA"/>
    <w:rsid w:val="00D202E8"/>
    <w:rsid w:val="00D709BE"/>
    <w:rsid w:val="00DC42F2"/>
    <w:rsid w:val="00DE67D9"/>
    <w:rsid w:val="00E15A70"/>
    <w:rsid w:val="00E539A6"/>
    <w:rsid w:val="00E913B9"/>
    <w:rsid w:val="00E94E9B"/>
    <w:rsid w:val="00F004ED"/>
    <w:rsid w:val="00F442DC"/>
    <w:rsid w:val="00F514F3"/>
    <w:rsid w:val="00F601EF"/>
    <w:rsid w:val="00F93627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1F44-02C3-4464-AD7E-A21A49F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96D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B34A60"/>
    <w:pPr>
      <w:ind w:left="708"/>
    </w:pPr>
  </w:style>
  <w:style w:type="character" w:customStyle="1" w:styleId="PrrafodelistaCar">
    <w:name w:val="Párrafo de lista Car"/>
    <w:aliases w:val="본문1 Car,titulo 5 Car,PARRAFO Car"/>
    <w:link w:val="Prrafodelista"/>
    <w:uiPriority w:val="34"/>
    <w:rsid w:val="00B34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60B6"/>
    <w:rPr>
      <w:rFonts w:eastAsiaTheme="minorHAnsi"/>
      <w:lang w:val="es-BO" w:eastAsia="es-BO"/>
    </w:rPr>
  </w:style>
  <w:style w:type="character" w:styleId="nfasis">
    <w:name w:val="Emphasis"/>
    <w:basedOn w:val="Fuentedeprrafopredeter"/>
    <w:uiPriority w:val="20"/>
    <w:qFormat/>
    <w:rsid w:val="001C60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7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796D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796DFD"/>
    <w:pPr>
      <w:spacing w:after="120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DF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796DFD"/>
    <w:pPr>
      <w:numPr>
        <w:numId w:val="20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796DFD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796DF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796DFD"/>
    <w:rPr>
      <w:rFonts w:ascii="Arial" w:eastAsia="Times New Roman" w:hAnsi="Arial" w:cs="Times New Roman"/>
      <w:lang w:val="es-ES" w:eastAsia="es-ES"/>
    </w:rPr>
  </w:style>
  <w:style w:type="character" w:customStyle="1" w:styleId="DefaultCar">
    <w:name w:val="Default Car"/>
    <w:basedOn w:val="Fuentedeprrafopredeter"/>
    <w:link w:val="Default"/>
    <w:locked/>
    <w:rsid w:val="00542A4F"/>
    <w:rPr>
      <w:rFonts w:ascii="Calibri" w:hAnsi="Calibri"/>
      <w:color w:val="000000"/>
    </w:rPr>
  </w:style>
  <w:style w:type="paragraph" w:customStyle="1" w:styleId="Default">
    <w:name w:val="Default"/>
    <w:basedOn w:val="Normal"/>
    <w:link w:val="DefaultCar"/>
    <w:rsid w:val="00542A4F"/>
    <w:pPr>
      <w:autoSpaceDE w:val="0"/>
      <w:autoSpaceDN w:val="0"/>
    </w:pPr>
    <w:rPr>
      <w:rFonts w:ascii="Calibri" w:eastAsiaTheme="minorHAnsi" w:hAnsi="Calibri" w:cstheme="minorBidi"/>
      <w:color w:val="000000"/>
      <w:sz w:val="22"/>
      <w:szCs w:val="22"/>
      <w:lang w:val="es-B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0FD0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0FD0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0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09A4-377F-4277-A70E-39488CB7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2246</Words>
  <Characters>12357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 Rene Calderon Llanos</dc:creator>
  <cp:keywords/>
  <dc:description/>
  <cp:lastModifiedBy>Rider Rene Calderon Llanos</cp:lastModifiedBy>
  <cp:revision>13</cp:revision>
  <cp:lastPrinted>2018-09-14T21:54:00Z</cp:lastPrinted>
  <dcterms:created xsi:type="dcterms:W3CDTF">2018-06-07T23:42:00Z</dcterms:created>
  <dcterms:modified xsi:type="dcterms:W3CDTF">2018-10-25T22:41:00Z</dcterms:modified>
</cp:coreProperties>
</file>