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1FD08463"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002EBF">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Default="00A40C19" w:rsidP="00FB45B6">
      <w:pPr>
        <w:jc w:val="both"/>
        <w:rPr>
          <w:rFonts w:asciiTheme="minorHAnsi" w:hAnsiTheme="minorHAnsi"/>
          <w:color w:val="000000"/>
          <w:sz w:val="22"/>
          <w:szCs w:val="22"/>
          <w:shd w:val="clear" w:color="auto" w:fill="FFFFFF"/>
        </w:rPr>
      </w:pP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$us.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844125A" w14:textId="759B0B67"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Los trabajadores, funcionarios y empleados designados por la empresa adjudicada, deberán estar cubiertos bajo el Seguro de Accidentes Personales </w:t>
      </w:r>
      <w:r w:rsidR="00124808">
        <w:rPr>
          <w:rFonts w:asciiTheme="minorHAnsi" w:hAnsiTheme="minorHAnsi" w:cstheme="minorHAnsi"/>
          <w:sz w:val="22"/>
          <w:szCs w:val="22"/>
        </w:rPr>
        <w:t xml:space="preserve">emitidos por una Compañía de Seguros </w:t>
      </w:r>
      <w:r w:rsidRPr="006C724A">
        <w:rPr>
          <w:rFonts w:asciiTheme="minorHAnsi" w:hAnsiTheme="minorHAnsi" w:cstheme="minorHAnsi"/>
          <w:sz w:val="22"/>
          <w:szCs w:val="22"/>
        </w:rPr>
        <w:t>(que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661A88B" w14:textId="5D428810" w:rsidR="006C724A" w:rsidRPr="006C724A" w:rsidRDefault="006C724A" w:rsidP="00124808">
      <w:pPr>
        <w:pStyle w:val="Prrafodelista"/>
        <w:numPr>
          <w:ilvl w:val="0"/>
          <w:numId w:val="24"/>
        </w:numPr>
        <w:ind w:left="284" w:hanging="295"/>
        <w:jc w:val="both"/>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w:t>
      </w:r>
      <w:r w:rsidR="00124808">
        <w:rPr>
          <w:rFonts w:asciiTheme="minorHAnsi" w:hAnsiTheme="minorHAnsi" w:cstheme="minorHAnsi"/>
          <w:sz w:val="22"/>
          <w:szCs w:val="22"/>
        </w:rPr>
        <w:t xml:space="preserve"> p</w:t>
      </w:r>
      <w:r w:rsidRPr="006C724A">
        <w:rPr>
          <w:rFonts w:asciiTheme="minorHAnsi" w:hAnsiTheme="minorHAnsi" w:cstheme="minorHAnsi"/>
          <w:sz w:val="22"/>
          <w:szCs w:val="22"/>
        </w:rPr>
        <w:t>recedentemente, o bien se presente la existencia de eventos no cubiertos por las mismas; la</w:t>
      </w:r>
      <w:r w:rsidR="00124808">
        <w:rPr>
          <w:rFonts w:asciiTheme="minorHAnsi" w:hAnsiTheme="minorHAnsi" w:cstheme="minorHAnsi"/>
          <w:sz w:val="22"/>
          <w:szCs w:val="22"/>
        </w:rPr>
        <w:t xml:space="preserve"> </w:t>
      </w:r>
      <w:r w:rsidRPr="006C724A">
        <w:rPr>
          <w:rFonts w:asciiTheme="minorHAnsi" w:hAnsiTheme="minorHAnsi" w:cstheme="minorHAnsi"/>
          <w:sz w:val="22"/>
          <w:szCs w:val="22"/>
        </w:rPr>
        <w:t>empresa adjudicada, se hace enteramente responsable frente a YPFB,  por todos los accidentes que hayan podido sufrir su personal en el desempeño de sus f</w:t>
      </w:r>
      <w:bookmarkStart w:id="0" w:name="_GoBack"/>
      <w:bookmarkEnd w:id="0"/>
      <w:r w:rsidRPr="006C724A">
        <w:rPr>
          <w:rFonts w:asciiTheme="minorHAnsi" w:hAnsiTheme="minorHAnsi" w:cstheme="minorHAnsi"/>
          <w:sz w:val="22"/>
          <w:szCs w:val="22"/>
        </w:rPr>
        <w:t>unciones.</w:t>
      </w:r>
    </w:p>
    <w:p w14:paraId="381B34B2" w14:textId="0099BFD4" w:rsidR="003E7E04" w:rsidRPr="006C724A" w:rsidRDefault="006C724A" w:rsidP="00E510CF">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lastRenderedPageBreak/>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307A510"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A4D3E2E"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01DBE525"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002EBF">
        <w:rPr>
          <w:rFonts w:asciiTheme="minorHAnsi" w:hAnsiTheme="minorHAnsi" w:cstheme="minorHAnsi"/>
          <w:bCs/>
          <w:sz w:val="22"/>
          <w:szCs w:val="22"/>
          <w:lang w:val="es-BO"/>
        </w:rPr>
        <w:t>contratista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5C65550D"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B736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w:t>
      </w:r>
      <w:r w:rsidRPr="0069314D">
        <w:rPr>
          <w:rFonts w:asciiTheme="minorHAnsi" w:hAnsiTheme="minorHAnsi" w:cstheme="minorHAnsi"/>
          <w:bCs/>
          <w:sz w:val="22"/>
          <w:szCs w:val="22"/>
          <w:lang w:val="es-BO"/>
        </w:rPr>
        <w:lastRenderedPageBreak/>
        <w:t xml:space="preserve">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(Empresa) deberá estar respaldado por los registrados en los siguientes documentos, según corresponda al documento requerido en el DBC o DCD o EETT o TDRs:</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requerida, considerando el inc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78B7ED7" w14:textId="77777777" w:rsidR="006A5FFA"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6A5FFA">
        <w:rPr>
          <w:rFonts w:asciiTheme="minorHAnsi" w:hAnsiTheme="minorHAnsi"/>
          <w:b/>
          <w:sz w:val="20"/>
          <w:szCs w:val="20"/>
          <w:u w:val="single"/>
        </w:rPr>
        <w:t>NO DARÁ LUGAR A SUBSANACION ALGUNA</w:t>
      </w:r>
    </w:p>
    <w:p w14:paraId="43D08589" w14:textId="77777777" w:rsidR="006A5FFA" w:rsidRDefault="006A5FFA" w:rsidP="00D51E26">
      <w:pPr>
        <w:widowControl w:val="0"/>
        <w:jc w:val="center"/>
        <w:rPr>
          <w:rFonts w:asciiTheme="minorHAnsi" w:hAnsiTheme="minorHAnsi"/>
          <w:sz w:val="20"/>
          <w:szCs w:val="20"/>
        </w:rPr>
      </w:pPr>
    </w:p>
    <w:sectPr w:rsidR="006A5FFA"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07C26" w14:textId="77777777" w:rsidR="00847CDF" w:rsidRDefault="00847CDF" w:rsidP="0031499A">
      <w:r>
        <w:separator/>
      </w:r>
    </w:p>
  </w:endnote>
  <w:endnote w:type="continuationSeparator" w:id="0">
    <w:p w14:paraId="6C83DEE8" w14:textId="77777777" w:rsidR="00847CDF" w:rsidRDefault="00847CD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A2525" w14:textId="77777777" w:rsidR="00847CDF" w:rsidRDefault="00847CDF" w:rsidP="0031499A">
      <w:r>
        <w:separator/>
      </w:r>
    </w:p>
  </w:footnote>
  <w:footnote w:type="continuationSeparator" w:id="0">
    <w:p w14:paraId="6C93FA87" w14:textId="77777777" w:rsidR="00847CDF" w:rsidRDefault="00847CDF"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6A792037" w:rsidR="00BE0210" w:rsidRPr="0076024C" w:rsidRDefault="00BE0210" w:rsidP="00B04257">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B04257">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DISPOSICIONES ADMINISTRATIVAS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24808">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2480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2EBF"/>
    <w:rsid w:val="00003B12"/>
    <w:rsid w:val="000431DF"/>
    <w:rsid w:val="00065D79"/>
    <w:rsid w:val="00071F8C"/>
    <w:rsid w:val="00077AC5"/>
    <w:rsid w:val="000848A9"/>
    <w:rsid w:val="000A795B"/>
    <w:rsid w:val="000D3C4D"/>
    <w:rsid w:val="000D70D2"/>
    <w:rsid w:val="000E3A52"/>
    <w:rsid w:val="000F3134"/>
    <w:rsid w:val="00103BEB"/>
    <w:rsid w:val="00107988"/>
    <w:rsid w:val="001125A9"/>
    <w:rsid w:val="00124808"/>
    <w:rsid w:val="00151879"/>
    <w:rsid w:val="001539BA"/>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2117E"/>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71A0"/>
    <w:rsid w:val="00685042"/>
    <w:rsid w:val="006A549B"/>
    <w:rsid w:val="006A5FFA"/>
    <w:rsid w:val="006C724A"/>
    <w:rsid w:val="006D20A4"/>
    <w:rsid w:val="006D5E32"/>
    <w:rsid w:val="006E29A9"/>
    <w:rsid w:val="006E4966"/>
    <w:rsid w:val="0070150A"/>
    <w:rsid w:val="00702E24"/>
    <w:rsid w:val="00706838"/>
    <w:rsid w:val="00752C02"/>
    <w:rsid w:val="00760A05"/>
    <w:rsid w:val="007913D3"/>
    <w:rsid w:val="007B4B29"/>
    <w:rsid w:val="007B5C13"/>
    <w:rsid w:val="007D1BEF"/>
    <w:rsid w:val="007D281C"/>
    <w:rsid w:val="007D665B"/>
    <w:rsid w:val="007E4295"/>
    <w:rsid w:val="00800991"/>
    <w:rsid w:val="00827D8B"/>
    <w:rsid w:val="008445E4"/>
    <w:rsid w:val="00847CDF"/>
    <w:rsid w:val="00853B7F"/>
    <w:rsid w:val="0086754F"/>
    <w:rsid w:val="00883B98"/>
    <w:rsid w:val="0089032B"/>
    <w:rsid w:val="008B25A7"/>
    <w:rsid w:val="008B6C39"/>
    <w:rsid w:val="008C469A"/>
    <w:rsid w:val="008E686F"/>
    <w:rsid w:val="009113B2"/>
    <w:rsid w:val="009263E4"/>
    <w:rsid w:val="00946E97"/>
    <w:rsid w:val="009703CA"/>
    <w:rsid w:val="00993FE0"/>
    <w:rsid w:val="009E611B"/>
    <w:rsid w:val="00A0160F"/>
    <w:rsid w:val="00A02B4D"/>
    <w:rsid w:val="00A060DF"/>
    <w:rsid w:val="00A256F0"/>
    <w:rsid w:val="00A25FE1"/>
    <w:rsid w:val="00A366F6"/>
    <w:rsid w:val="00A40C19"/>
    <w:rsid w:val="00A54BD3"/>
    <w:rsid w:val="00A62072"/>
    <w:rsid w:val="00A81459"/>
    <w:rsid w:val="00AA06CB"/>
    <w:rsid w:val="00AD16D6"/>
    <w:rsid w:val="00AE221C"/>
    <w:rsid w:val="00AE542B"/>
    <w:rsid w:val="00AE5FDE"/>
    <w:rsid w:val="00B0228A"/>
    <w:rsid w:val="00B0400F"/>
    <w:rsid w:val="00B04257"/>
    <w:rsid w:val="00B124FC"/>
    <w:rsid w:val="00B159D8"/>
    <w:rsid w:val="00B3272B"/>
    <w:rsid w:val="00B57B2D"/>
    <w:rsid w:val="00B672F6"/>
    <w:rsid w:val="00B721FA"/>
    <w:rsid w:val="00B8142A"/>
    <w:rsid w:val="00BA4D62"/>
    <w:rsid w:val="00BB4045"/>
    <w:rsid w:val="00BB6DD0"/>
    <w:rsid w:val="00BC520B"/>
    <w:rsid w:val="00BC5D47"/>
    <w:rsid w:val="00BE0210"/>
    <w:rsid w:val="00BE3886"/>
    <w:rsid w:val="00C13A77"/>
    <w:rsid w:val="00C604CC"/>
    <w:rsid w:val="00CA4F6D"/>
    <w:rsid w:val="00CB093C"/>
    <w:rsid w:val="00CC0FD1"/>
    <w:rsid w:val="00CF668A"/>
    <w:rsid w:val="00CF7FDB"/>
    <w:rsid w:val="00D02E07"/>
    <w:rsid w:val="00D065A3"/>
    <w:rsid w:val="00D3247A"/>
    <w:rsid w:val="00D36B2B"/>
    <w:rsid w:val="00D45EC8"/>
    <w:rsid w:val="00D51E26"/>
    <w:rsid w:val="00D64464"/>
    <w:rsid w:val="00D70609"/>
    <w:rsid w:val="00D75444"/>
    <w:rsid w:val="00D818F7"/>
    <w:rsid w:val="00D97D39"/>
    <w:rsid w:val="00DA0A84"/>
    <w:rsid w:val="00DB2830"/>
    <w:rsid w:val="00DB5FFE"/>
    <w:rsid w:val="00DB7361"/>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2E2C"/>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B952-A3E6-4985-AB20-E49F3788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4306</Words>
  <Characters>23684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2</cp:revision>
  <cp:lastPrinted>2018-05-21T21:59:00Z</cp:lastPrinted>
  <dcterms:created xsi:type="dcterms:W3CDTF">2018-11-06T18:50:00Z</dcterms:created>
  <dcterms:modified xsi:type="dcterms:W3CDTF">2018-11-06T18:50:00Z</dcterms:modified>
</cp:coreProperties>
</file>