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w:t>
      </w:r>
      <w:proofErr w:type="spellStart"/>
      <w:r w:rsidRPr="002260FA">
        <w:rPr>
          <w:rFonts w:eastAsia="Times New Roman" w:cstheme="minorHAnsi"/>
          <w:lang w:val="es-ES" w:eastAsia="es-ES"/>
        </w:rPr>
        <w:t>SySO</w:t>
      </w:r>
      <w:proofErr w:type="spellEnd"/>
      <w:r w:rsidRPr="002260FA">
        <w:rPr>
          <w:rFonts w:eastAsia="Times New Roman" w:cstheme="minorHAnsi"/>
          <w:lang w:val="es-ES" w:eastAsia="es-ES"/>
        </w:rPr>
        <w:t xml:space="preserve">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2260FA">
        <w:rPr>
          <w:rFonts w:eastAsia="Times New Roman" w:cstheme="minorHAnsi"/>
          <w:lang w:val="es-ES" w:eastAsia="es-ES"/>
        </w:rPr>
        <w:t>SySO</w:t>
      </w:r>
      <w:proofErr w:type="spellEnd"/>
      <w:r w:rsidRPr="002260FA">
        <w:rPr>
          <w:rFonts w:eastAsia="Times New Roman" w:cstheme="minorHAnsi"/>
          <w:lang w:val="es-ES" w:eastAsia="es-ES"/>
        </w:rPr>
        <w:t>”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E859AC" w:rsidRDefault="00624F1E" w:rsidP="00624F1E">
      <w:pPr>
        <w:spacing w:before="240" w:after="120"/>
        <w:jc w:val="both"/>
        <w:rPr>
          <w:rFonts w:asciiTheme="minorHAnsi" w:hAnsiTheme="minorHAnsi" w:cstheme="minorHAnsi"/>
        </w:rPr>
      </w:pPr>
      <w:r w:rsidRPr="002260FA">
        <w:rPr>
          <w:rFonts w:asciiTheme="minorHAnsi" w:hAnsiTheme="minorHAnsi" w:cstheme="minorHAnsi"/>
        </w:rPr>
        <w:t xml:space="preserve">La empresa contratista deberá prever el personal de SMS para el proyecto en función a las </w:t>
      </w:r>
      <w:r w:rsidRPr="00E859AC">
        <w:rPr>
          <w:rFonts w:asciiTheme="minorHAnsi" w:hAnsiTheme="minorHAnsi" w:cstheme="minorHAnsi"/>
        </w:rPr>
        <w:t>siguientes consideraciones:</w:t>
      </w:r>
    </w:p>
    <w:p w:rsidR="00624F1E" w:rsidRPr="00FF4AEA" w:rsidRDefault="00624F1E" w:rsidP="00BC050D">
      <w:pPr>
        <w:pStyle w:val="Prrafodelista"/>
        <w:numPr>
          <w:ilvl w:val="0"/>
          <w:numId w:val="6"/>
        </w:numPr>
        <w:spacing w:before="240" w:after="120"/>
        <w:jc w:val="both"/>
        <w:rPr>
          <w:rFonts w:asciiTheme="minorHAnsi" w:hAnsiTheme="minorHAnsi" w:cstheme="minorHAnsi"/>
        </w:rPr>
      </w:pPr>
      <w:r w:rsidRPr="00E859AC">
        <w:rPr>
          <w:rFonts w:asciiTheme="minorHAnsi" w:hAnsiTheme="minorHAnsi" w:cstheme="minorHAnsi"/>
        </w:rPr>
        <w:t xml:space="preserve">Análisis preliminar de peligros y riesgos (asociados a la actividad), tiempo, magnitud </w:t>
      </w:r>
      <w:r w:rsidRPr="00FF4AEA">
        <w:rPr>
          <w:rFonts w:asciiTheme="minorHAnsi" w:hAnsiTheme="minorHAnsi" w:cstheme="minorHAnsi"/>
        </w:rPr>
        <w:t>del proyecto, número de trabajadores y numero de frentes de trabajo.</w:t>
      </w:r>
    </w:p>
    <w:p w:rsidR="0074275E" w:rsidRPr="00C13EE4" w:rsidRDefault="00624F1E" w:rsidP="00BC050D">
      <w:pPr>
        <w:pStyle w:val="Prrafodelista"/>
        <w:numPr>
          <w:ilvl w:val="0"/>
          <w:numId w:val="6"/>
        </w:numPr>
        <w:spacing w:before="240" w:after="120"/>
        <w:jc w:val="both"/>
        <w:rPr>
          <w:rFonts w:asciiTheme="minorHAnsi" w:hAnsiTheme="minorHAnsi" w:cstheme="minorHAnsi"/>
          <w:highlight w:val="yellow"/>
        </w:rPr>
      </w:pPr>
      <w:r w:rsidRPr="00FF4AEA">
        <w:rPr>
          <w:rFonts w:asciiTheme="minorHAnsi" w:hAnsiTheme="minorHAnsi" w:cstheme="minorHAnsi"/>
        </w:rPr>
        <w:t>En cumplimiento</w:t>
      </w:r>
      <w:r w:rsidRPr="00E859AC">
        <w:rPr>
          <w:rFonts w:asciiTheme="minorHAnsi" w:hAnsiTheme="minorHAnsi" w:cstheme="minorHAnsi"/>
        </w:rPr>
        <w:t xml:space="preserve"> a la LGT Art.73,</w:t>
      </w:r>
      <w:r w:rsidRPr="00E859AC">
        <w:rPr>
          <w:rFonts w:asciiTheme="minorHAnsi" w:hAnsiTheme="minorHAnsi" w:cstheme="minorHAnsi"/>
          <w:color w:val="FF0000"/>
        </w:rPr>
        <w:t xml:space="preserve"> </w:t>
      </w:r>
      <w:r w:rsidRPr="00E859AC">
        <w:rPr>
          <w:rFonts w:asciiTheme="minorHAnsi" w:hAnsiTheme="minorHAnsi" w:cstheme="minorHAnsi"/>
        </w:rPr>
        <w:t>se establece que todo proyecto con más de 80 trabajadores</w:t>
      </w:r>
      <w:r w:rsidRPr="002260FA">
        <w:rPr>
          <w:rFonts w:asciiTheme="minorHAnsi" w:hAnsiTheme="minorHAnsi" w:cstheme="minorHAnsi"/>
        </w:rPr>
        <w:t xml:space="preserve">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proofErr w:type="spellStart"/>
      <w:r w:rsidRPr="002260FA">
        <w:rPr>
          <w:rFonts w:asciiTheme="minorHAnsi" w:hAnsiTheme="minorHAnsi" w:cstheme="minorHAnsi"/>
          <w:b/>
          <w:sz w:val="22"/>
          <w:szCs w:val="22"/>
        </w:rPr>
        <w:lastRenderedPageBreak/>
        <w:t>Curriculum</w:t>
      </w:r>
      <w:proofErr w:type="spellEnd"/>
      <w:r w:rsidRPr="002260FA">
        <w:rPr>
          <w:rFonts w:asciiTheme="minorHAnsi" w:hAnsiTheme="minorHAnsi" w:cstheme="minorHAnsi"/>
          <w:b/>
          <w:sz w:val="22"/>
          <w:szCs w:val="22"/>
        </w:rPr>
        <w:t xml:space="preserve">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 xml:space="preserve">Legislación en Seguridad, salud ocupacional y Medio Ambiente. Seguridad para trabajo en espacios confinados, trabajos de </w:t>
            </w:r>
            <w:proofErr w:type="spellStart"/>
            <w:r w:rsidRPr="002260FA">
              <w:rPr>
                <w:rFonts w:cstheme="minorHAnsi"/>
              </w:rPr>
              <w:t>izaje</w:t>
            </w:r>
            <w:proofErr w:type="spellEnd"/>
            <w:r w:rsidRPr="002260FA">
              <w:rPr>
                <w:rFonts w:cstheme="minorHAnsi"/>
              </w:rPr>
              <w:t xml:space="preserv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 xml:space="preserve">aprobación y </w:t>
      </w:r>
      <w:proofErr w:type="spellStart"/>
      <w:r w:rsidR="00624F1E" w:rsidRPr="002260FA">
        <w:rPr>
          <w:rFonts w:asciiTheme="minorHAnsi" w:hAnsiTheme="minorHAnsi" w:cstheme="minorHAnsi"/>
          <w:b/>
          <w:sz w:val="22"/>
          <w:szCs w:val="22"/>
        </w:rPr>
        <w:t>VoBo</w:t>
      </w:r>
      <w:proofErr w:type="spellEnd"/>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E859AC" w:rsidRPr="002260FA" w:rsidRDefault="00E859AC" w:rsidP="00E859AC">
      <w:pPr>
        <w:pStyle w:val="Prrafodelista"/>
        <w:spacing w:after="200" w:line="276" w:lineRule="auto"/>
        <w:ind w:left="360"/>
        <w:contextualSpacing/>
        <w:jc w:val="both"/>
        <w:rPr>
          <w:rFonts w:asciiTheme="minorHAnsi" w:hAnsiTheme="minorHAnsi" w:cstheme="minorHAnsi"/>
          <w:sz w:val="22"/>
          <w:szCs w:val="22"/>
        </w:rPr>
      </w:pP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proofErr w:type="spellStart"/>
      <w:r w:rsidRPr="002260FA">
        <w:rPr>
          <w:rFonts w:asciiTheme="minorHAnsi" w:hAnsiTheme="minorHAnsi" w:cstheme="minorHAnsi"/>
          <w:b/>
          <w:sz w:val="22"/>
          <w:szCs w:val="22"/>
        </w:rPr>
        <w:t>Check</w:t>
      </w:r>
      <w:proofErr w:type="spellEnd"/>
      <w:r w:rsidRPr="002260FA">
        <w:rPr>
          <w:rFonts w:asciiTheme="minorHAnsi" w:hAnsiTheme="minorHAnsi" w:cstheme="minorHAnsi"/>
          <w:b/>
          <w:sz w:val="22"/>
          <w:szCs w:val="22"/>
        </w:rPr>
        <w:t xml:space="preserve"> </w:t>
      </w:r>
      <w:proofErr w:type="spellStart"/>
      <w:r w:rsidRPr="002260FA">
        <w:rPr>
          <w:rFonts w:asciiTheme="minorHAnsi" w:hAnsiTheme="minorHAnsi" w:cstheme="minorHAnsi"/>
          <w:b/>
          <w:sz w:val="22"/>
          <w:szCs w:val="22"/>
        </w:rPr>
        <w:t>list</w:t>
      </w:r>
      <w:proofErr w:type="spellEnd"/>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sz w:val="22"/>
          <w:szCs w:val="22"/>
        </w:rPr>
      </w:pPr>
    </w:p>
    <w:p w:rsidR="00E859AC" w:rsidRDefault="00E859AC" w:rsidP="00624F1E">
      <w:pPr>
        <w:jc w:val="both"/>
        <w:rPr>
          <w:rFonts w:asciiTheme="minorHAnsi" w:hAnsiTheme="minorHAnsi" w:cstheme="minorHAnsi"/>
          <w:sz w:val="22"/>
          <w:szCs w:val="22"/>
        </w:rPr>
      </w:pPr>
    </w:p>
    <w:p w:rsidR="00E859AC" w:rsidRPr="002260FA" w:rsidRDefault="00E859AC"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lastRenderedPageBreak/>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2260FA">
        <w:rPr>
          <w:rFonts w:asciiTheme="minorHAnsi" w:eastAsia="Times New Roman" w:hAnsiTheme="minorHAnsi" w:cstheme="minorHAnsi"/>
          <w:color w:val="auto"/>
          <w:sz w:val="22"/>
          <w:szCs w:val="22"/>
          <w:lang w:val="es-ES" w:eastAsia="es-ES"/>
        </w:rPr>
        <w:t>etc</w:t>
      </w:r>
      <w:proofErr w:type="spellEnd"/>
      <w:r w:rsidRPr="002260FA">
        <w:rPr>
          <w:rFonts w:asciiTheme="minorHAnsi" w:eastAsia="Times New Roman" w:hAnsiTheme="minorHAnsi" w:cstheme="minorHAnsi"/>
          <w:color w:val="auto"/>
          <w:sz w:val="22"/>
          <w:szCs w:val="22"/>
          <w:lang w:val="es-ES" w:eastAsia="es-ES"/>
        </w:rPr>
        <w:t>,)</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E859AC" w:rsidRDefault="00E859AC" w:rsidP="00624F1E">
      <w:pPr>
        <w:pStyle w:val="Prrafodelista"/>
        <w:spacing w:after="200" w:line="276" w:lineRule="auto"/>
        <w:ind w:left="720"/>
        <w:contextualSpacing/>
        <w:jc w:val="both"/>
        <w:rPr>
          <w:rFonts w:asciiTheme="minorHAnsi" w:hAnsiTheme="minorHAnsi" w:cstheme="minorHAnsi"/>
          <w:sz w:val="22"/>
          <w:szCs w:val="22"/>
        </w:rPr>
      </w:pPr>
    </w:p>
    <w:p w:rsidR="00E859AC" w:rsidRDefault="00E859AC"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w:t>
      </w:r>
      <w:r w:rsidRPr="00D2561F">
        <w:rPr>
          <w:rFonts w:asciiTheme="minorHAnsi" w:hAnsiTheme="minorHAnsi" w:cstheme="minorHAnsi"/>
          <w:sz w:val="22"/>
          <w:szCs w:val="22"/>
        </w:rPr>
        <w:lastRenderedPageBreak/>
        <w:t xml:space="preserve">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 xml:space="preserve">con estructura de alcance a nivel </w:t>
      </w:r>
      <w:r w:rsidR="00CE66DE" w:rsidRPr="006A5780">
        <w:rPr>
          <w:rFonts w:asciiTheme="minorHAnsi" w:hAnsiTheme="minorHAnsi" w:cstheme="minorHAnsi"/>
          <w:sz w:val="22"/>
          <w:szCs w:val="20"/>
        </w:rPr>
        <w:lastRenderedPageBreak/>
        <w:t>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64342"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E859AC" w:rsidRDefault="00E859AC" w:rsidP="00164342">
      <w:pPr>
        <w:jc w:val="both"/>
        <w:rPr>
          <w:rFonts w:asciiTheme="minorHAnsi" w:hAnsiTheme="minorHAnsi" w:cstheme="minorHAnsi"/>
        </w:rPr>
      </w:pPr>
    </w:p>
    <w:p w:rsidR="00E859AC" w:rsidRDefault="00E859AC" w:rsidP="00164342">
      <w:pPr>
        <w:jc w:val="both"/>
        <w:rPr>
          <w:rFonts w:asciiTheme="minorHAnsi" w:hAnsiTheme="minorHAnsi" w:cstheme="minorHAnsi"/>
        </w:rPr>
      </w:pPr>
    </w:p>
    <w:p w:rsidR="00E859AC" w:rsidRDefault="00E859AC" w:rsidP="00164342">
      <w:pPr>
        <w:jc w:val="both"/>
        <w:rPr>
          <w:rFonts w:asciiTheme="minorHAnsi" w:hAnsiTheme="minorHAnsi" w:cstheme="minorHAnsi"/>
        </w:rPr>
      </w:pPr>
    </w:p>
    <w:p w:rsidR="00E859AC" w:rsidRPr="002260FA" w:rsidRDefault="00E859AC" w:rsidP="00164342">
      <w:pPr>
        <w:jc w:val="both"/>
        <w:rPr>
          <w:rFonts w:asciiTheme="minorHAnsi" w:hAnsiTheme="minorHAnsi" w:cstheme="minorHAnsi"/>
        </w:rPr>
      </w:pP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lastRenderedPageBreak/>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 xml:space="preserve">(Empresa) deberá estar respaldado por los registrados en los siguientes documentos, según corresponda al documento requerido en el DBC o DCD o EETT o </w:t>
            </w:r>
            <w:proofErr w:type="spellStart"/>
            <w:r w:rsidRPr="002260FA">
              <w:rPr>
                <w:rFonts w:asciiTheme="minorHAnsi" w:hAnsiTheme="minorHAnsi" w:cstheme="minorHAnsi"/>
                <w:sz w:val="20"/>
                <w:szCs w:val="20"/>
              </w:rPr>
              <w:t>TDRs</w:t>
            </w:r>
            <w:proofErr w:type="spellEnd"/>
            <w:r w:rsidRPr="002260FA">
              <w:rPr>
                <w:rFonts w:asciiTheme="minorHAnsi" w:hAnsiTheme="minorHAnsi" w:cstheme="minorHAnsi"/>
                <w:sz w:val="20"/>
                <w:szCs w:val="20"/>
              </w:rPr>
              <w:t>:</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xml:space="preserve">” requerida, considerando el </w:t>
            </w:r>
            <w:proofErr w:type="spellStart"/>
            <w:r w:rsidRPr="002260FA">
              <w:rPr>
                <w:rFonts w:asciiTheme="minorHAnsi" w:hAnsiTheme="minorHAnsi" w:cstheme="minorHAnsi"/>
                <w:sz w:val="20"/>
                <w:szCs w:val="20"/>
              </w:rPr>
              <w:t>inc</w:t>
            </w:r>
            <w:proofErr w:type="spellEnd"/>
            <w:r w:rsidRPr="002260FA">
              <w:rPr>
                <w:rFonts w:asciiTheme="minorHAnsi" w:hAnsiTheme="minorHAnsi" w:cstheme="minorHAnsi"/>
                <w:sz w:val="20"/>
                <w:szCs w:val="20"/>
              </w:rPr>
              <w:t xml:space="preserve">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lastRenderedPageBreak/>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2260FA">
        <w:rPr>
          <w:rFonts w:asciiTheme="minorHAnsi" w:hAnsiTheme="minorHAnsi" w:cstheme="minorHAnsi"/>
          <w:sz w:val="22"/>
          <w:szCs w:val="22"/>
          <w:lang w:val="es-BO" w:eastAsia="es-BO"/>
        </w:rPr>
        <w:t>LA</w:t>
      </w:r>
      <w:proofErr w:type="spellEnd"/>
      <w:r w:rsidRPr="002260FA">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La contratista se obliga a aplicar los lineamientos establecidos en el Anexo “Requisitos de Protección Ambiental Contratistas”. Este anexo establece la generación de planillas de la gestión de residuos </w:t>
      </w:r>
      <w:r w:rsidRPr="002260FA">
        <w:rPr>
          <w:rFonts w:asciiTheme="minorHAnsi" w:hAnsiTheme="minorHAnsi" w:cstheme="minorHAnsi"/>
          <w:sz w:val="22"/>
          <w:szCs w:val="22"/>
          <w:lang w:val="es-BO" w:eastAsia="es-BO"/>
        </w:rPr>
        <w:lastRenderedPageBreak/>
        <w:t>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bookmarkStart w:id="0" w:name="_GoBack"/>
      <w:bookmarkEnd w:id="0"/>
    </w:p>
    <w:sectPr w:rsidR="006371AA" w:rsidRPr="00D40887" w:rsidSect="00331B5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C1" w:rsidRDefault="00B76CC1" w:rsidP="00E92156">
      <w:r>
        <w:separator/>
      </w:r>
    </w:p>
  </w:endnote>
  <w:endnote w:type="continuationSeparator" w:id="0">
    <w:p w:rsidR="00B76CC1" w:rsidRDefault="00B76CC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544"/>
    </w:tblGrid>
    <w:tr w:rsidR="00E16918" w:rsidRPr="000810BB" w:rsidTr="00331B56">
      <w:trPr>
        <w:trHeight w:val="138"/>
      </w:trPr>
      <w:tc>
        <w:tcPr>
          <w:tcW w:w="2694" w:type="dxa"/>
          <w:shd w:val="clear" w:color="auto" w:fill="auto"/>
        </w:tcPr>
        <w:p w:rsidR="00E16918" w:rsidRPr="00331B56" w:rsidRDefault="00E16918" w:rsidP="00E16918">
          <w:pPr>
            <w:pStyle w:val="Piedepgina"/>
            <w:rPr>
              <w:rFonts w:ascii="Calibri" w:hAnsi="Calibri"/>
              <w:color w:val="FFFFFF" w:themeColor="background1"/>
              <w:sz w:val="16"/>
              <w:szCs w:val="16"/>
              <w:lang w:val="es-BO" w:eastAsia="en-US"/>
            </w:rPr>
          </w:pPr>
          <w:r w:rsidRPr="00331B56">
            <w:rPr>
              <w:rFonts w:ascii="Vijaya" w:eastAsia="Calibri" w:hAnsi="Vijaya" w:cs="Vijaya"/>
              <w:b/>
              <w:bCs/>
              <w:color w:val="FFFFFF" w:themeColor="background1"/>
              <w:sz w:val="16"/>
              <w:szCs w:val="16"/>
              <w:lang w:val="es-BO" w:eastAsia="en-US"/>
            </w:rPr>
            <w:t>Elaborado por:</w:t>
          </w:r>
        </w:p>
      </w:tc>
      <w:tc>
        <w:tcPr>
          <w:tcW w:w="3118" w:type="dxa"/>
          <w:shd w:val="clear" w:color="auto" w:fill="auto"/>
        </w:tcPr>
        <w:p w:rsidR="00E16918" w:rsidRPr="00331B56" w:rsidRDefault="00E16918" w:rsidP="00E16918">
          <w:pPr>
            <w:pStyle w:val="Piedepgina"/>
            <w:rPr>
              <w:rFonts w:ascii="Calibri" w:hAnsi="Calibri"/>
              <w:color w:val="FFFFFF" w:themeColor="background1"/>
              <w:sz w:val="16"/>
              <w:szCs w:val="16"/>
              <w:lang w:val="es-BO" w:eastAsia="en-US"/>
            </w:rPr>
          </w:pPr>
          <w:r w:rsidRPr="00331B56">
            <w:rPr>
              <w:rFonts w:ascii="Vijaya" w:eastAsia="Calibri" w:hAnsi="Vijaya" w:cs="Vijaya"/>
              <w:b/>
              <w:bCs/>
              <w:color w:val="FFFFFF" w:themeColor="background1"/>
              <w:sz w:val="16"/>
              <w:szCs w:val="16"/>
              <w:lang w:val="es-BO" w:eastAsia="en-US"/>
            </w:rPr>
            <w:t>Revisado por:</w:t>
          </w:r>
        </w:p>
      </w:tc>
      <w:tc>
        <w:tcPr>
          <w:tcW w:w="3544" w:type="dxa"/>
          <w:shd w:val="clear" w:color="auto" w:fill="auto"/>
        </w:tcPr>
        <w:p w:rsidR="00E16918" w:rsidRPr="00331B56" w:rsidRDefault="00E16918" w:rsidP="00E16918">
          <w:pPr>
            <w:pStyle w:val="Piedepgina"/>
            <w:rPr>
              <w:rFonts w:ascii="Calibri" w:hAnsi="Calibri"/>
              <w:color w:val="FFFFFF" w:themeColor="background1"/>
              <w:sz w:val="16"/>
              <w:szCs w:val="16"/>
              <w:lang w:val="es-BO" w:eastAsia="en-US"/>
            </w:rPr>
          </w:pPr>
          <w:r w:rsidRPr="00331B56">
            <w:rPr>
              <w:rFonts w:ascii="Vijaya" w:eastAsia="Calibri" w:hAnsi="Vijaya" w:cs="Vijaya"/>
              <w:b/>
              <w:bCs/>
              <w:color w:val="FFFFFF" w:themeColor="background1"/>
              <w:sz w:val="16"/>
              <w:szCs w:val="16"/>
              <w:lang w:val="es-BO" w:eastAsia="en-US"/>
            </w:rPr>
            <w:t>Aprobado por:</w:t>
          </w:r>
        </w:p>
      </w:tc>
    </w:tr>
    <w:tr w:rsidR="00E16918" w:rsidRPr="000810BB" w:rsidTr="00331B56">
      <w:trPr>
        <w:trHeight w:val="839"/>
      </w:trPr>
      <w:tc>
        <w:tcPr>
          <w:tcW w:w="2694" w:type="dxa"/>
          <w:shd w:val="clear" w:color="auto" w:fill="auto"/>
        </w:tcPr>
        <w:p w:rsidR="00E16918" w:rsidRPr="00331B56" w:rsidRDefault="00E16918" w:rsidP="00E16918">
          <w:pPr>
            <w:pStyle w:val="Piedepgina"/>
            <w:rPr>
              <w:rFonts w:ascii="Calibri" w:hAnsi="Calibri"/>
              <w:color w:val="FFFFFF" w:themeColor="background1"/>
              <w:sz w:val="16"/>
              <w:szCs w:val="16"/>
              <w:lang w:val="es-BO" w:eastAsia="en-US"/>
            </w:rPr>
          </w:pPr>
        </w:p>
        <w:p w:rsidR="00E16918" w:rsidRPr="00331B56" w:rsidRDefault="00E16918" w:rsidP="00E16918">
          <w:pPr>
            <w:pStyle w:val="Piedepgina"/>
            <w:rPr>
              <w:rFonts w:ascii="Calibri" w:hAnsi="Calibri"/>
              <w:color w:val="FFFFFF" w:themeColor="background1"/>
              <w:sz w:val="16"/>
              <w:szCs w:val="16"/>
              <w:lang w:val="es-BO" w:eastAsia="en-US"/>
            </w:rPr>
          </w:pPr>
        </w:p>
        <w:p w:rsidR="00E16918" w:rsidRPr="00331B56" w:rsidRDefault="00E16918" w:rsidP="00E16918">
          <w:pPr>
            <w:pStyle w:val="Piedepgina"/>
            <w:rPr>
              <w:rFonts w:ascii="Calibri" w:hAnsi="Calibri"/>
              <w:color w:val="FFFFFF" w:themeColor="background1"/>
              <w:sz w:val="16"/>
              <w:szCs w:val="16"/>
              <w:lang w:val="es-BO" w:eastAsia="en-US"/>
            </w:rPr>
          </w:pPr>
        </w:p>
        <w:p w:rsidR="00E16918" w:rsidRPr="00331B56" w:rsidRDefault="00E16918" w:rsidP="00E16918">
          <w:pPr>
            <w:pStyle w:val="Piedepgina"/>
            <w:rPr>
              <w:rFonts w:ascii="Calibri" w:hAnsi="Calibri"/>
              <w:color w:val="FFFFFF" w:themeColor="background1"/>
              <w:sz w:val="16"/>
              <w:szCs w:val="16"/>
              <w:lang w:val="es-BO" w:eastAsia="en-US"/>
            </w:rPr>
          </w:pPr>
        </w:p>
        <w:p w:rsidR="00E16918" w:rsidRPr="00331B56" w:rsidRDefault="00E16918" w:rsidP="00E16918">
          <w:pPr>
            <w:pStyle w:val="Piedepgina"/>
            <w:rPr>
              <w:rFonts w:ascii="Calibri" w:hAnsi="Calibri"/>
              <w:color w:val="FFFFFF" w:themeColor="background1"/>
              <w:sz w:val="16"/>
              <w:szCs w:val="16"/>
              <w:lang w:val="es-BO" w:eastAsia="en-US"/>
            </w:rPr>
          </w:pPr>
        </w:p>
      </w:tc>
      <w:tc>
        <w:tcPr>
          <w:tcW w:w="3118" w:type="dxa"/>
          <w:shd w:val="clear" w:color="auto" w:fill="auto"/>
        </w:tcPr>
        <w:p w:rsidR="00E16918" w:rsidRPr="00331B56" w:rsidRDefault="00E16918" w:rsidP="00E16918">
          <w:pPr>
            <w:pStyle w:val="Piedepgina"/>
            <w:rPr>
              <w:rFonts w:ascii="Calibri" w:hAnsi="Calibri"/>
              <w:color w:val="FFFFFF" w:themeColor="background1"/>
              <w:sz w:val="16"/>
              <w:szCs w:val="16"/>
              <w:lang w:val="es-BO" w:eastAsia="en-US"/>
            </w:rPr>
          </w:pPr>
        </w:p>
      </w:tc>
      <w:tc>
        <w:tcPr>
          <w:tcW w:w="3544" w:type="dxa"/>
          <w:shd w:val="clear" w:color="auto" w:fill="auto"/>
        </w:tcPr>
        <w:p w:rsidR="00E16918" w:rsidRPr="00331B56" w:rsidRDefault="00E16918" w:rsidP="00E16918">
          <w:pPr>
            <w:pStyle w:val="Piedepgina"/>
            <w:rPr>
              <w:rFonts w:ascii="Calibri" w:hAnsi="Calibri"/>
              <w:color w:val="FFFFFF" w:themeColor="background1"/>
              <w:sz w:val="16"/>
              <w:szCs w:val="16"/>
              <w:lang w:val="es-BO" w:eastAsia="en-US"/>
            </w:rPr>
          </w:pPr>
        </w:p>
        <w:p w:rsidR="00E16918" w:rsidRPr="00331B56" w:rsidRDefault="00E16918" w:rsidP="00E16918">
          <w:pPr>
            <w:pStyle w:val="Piedepgina"/>
            <w:rPr>
              <w:rFonts w:ascii="Calibri" w:hAnsi="Calibri"/>
              <w:color w:val="FFFFFF" w:themeColor="background1"/>
              <w:sz w:val="16"/>
              <w:szCs w:val="16"/>
              <w:lang w:val="es-BO" w:eastAsia="en-US"/>
            </w:rPr>
          </w:pPr>
        </w:p>
        <w:p w:rsidR="00E16918" w:rsidRPr="00331B56" w:rsidRDefault="00E16918" w:rsidP="00E16918">
          <w:pPr>
            <w:pStyle w:val="Piedepgina"/>
            <w:rPr>
              <w:rFonts w:ascii="Calibri" w:hAnsi="Calibri"/>
              <w:color w:val="FFFFFF" w:themeColor="background1"/>
              <w:sz w:val="16"/>
              <w:szCs w:val="16"/>
              <w:lang w:val="es-BO" w:eastAsia="en-US"/>
            </w:rPr>
          </w:pPr>
        </w:p>
      </w:tc>
    </w:tr>
    <w:tr w:rsidR="00A450D4" w:rsidRPr="000810BB" w:rsidTr="00331B56">
      <w:trPr>
        <w:trHeight w:val="553"/>
      </w:trPr>
      <w:tc>
        <w:tcPr>
          <w:tcW w:w="2694" w:type="dxa"/>
          <w:shd w:val="clear" w:color="auto" w:fill="auto"/>
          <w:vAlign w:val="center"/>
        </w:tcPr>
        <w:p w:rsidR="00A450D4" w:rsidRPr="00331B56" w:rsidRDefault="00A450D4" w:rsidP="00A450D4">
          <w:pPr>
            <w:pStyle w:val="Piedepgina"/>
            <w:jc w:val="center"/>
            <w:rPr>
              <w:rFonts w:asciiTheme="minorHAnsi" w:hAnsiTheme="minorHAnsi" w:cstheme="minorHAnsi"/>
              <w:b/>
              <w:color w:val="FFFFFF" w:themeColor="background1"/>
              <w:sz w:val="16"/>
              <w:szCs w:val="16"/>
            </w:rPr>
          </w:pPr>
          <w:r w:rsidRPr="00331B56">
            <w:rPr>
              <w:rFonts w:asciiTheme="minorHAnsi" w:hAnsiTheme="minorHAnsi" w:cstheme="minorHAnsi"/>
              <w:b/>
              <w:color w:val="FFFFFF" w:themeColor="background1"/>
              <w:sz w:val="16"/>
              <w:szCs w:val="16"/>
            </w:rPr>
            <w:t xml:space="preserve">Ing. </w:t>
          </w:r>
        </w:p>
        <w:p w:rsidR="00A450D4" w:rsidRPr="00331B56" w:rsidRDefault="00A450D4" w:rsidP="00A450D4">
          <w:pPr>
            <w:pStyle w:val="Piedepgina"/>
            <w:jc w:val="center"/>
            <w:rPr>
              <w:rFonts w:asciiTheme="minorHAnsi" w:hAnsiTheme="minorHAnsi" w:cstheme="minorHAnsi"/>
              <w:color w:val="FFFFFF" w:themeColor="background1"/>
              <w:sz w:val="16"/>
              <w:szCs w:val="16"/>
            </w:rPr>
          </w:pPr>
          <w:r w:rsidRPr="00331B56">
            <w:rPr>
              <w:rFonts w:asciiTheme="minorHAnsi" w:hAnsiTheme="minorHAnsi" w:cstheme="minorHAnsi"/>
              <w:color w:val="FFFFFF" w:themeColor="background1"/>
              <w:sz w:val="16"/>
              <w:szCs w:val="16"/>
            </w:rPr>
            <w:t>INGENIER</w:t>
          </w:r>
          <w:r w:rsidR="002508FA" w:rsidRPr="00331B56">
            <w:rPr>
              <w:rFonts w:asciiTheme="minorHAnsi" w:hAnsiTheme="minorHAnsi" w:cstheme="minorHAnsi"/>
              <w:color w:val="FFFFFF" w:themeColor="background1"/>
              <w:sz w:val="16"/>
              <w:szCs w:val="16"/>
            </w:rPr>
            <w:t>O DE</w:t>
          </w:r>
          <w:r w:rsidRPr="00331B56">
            <w:rPr>
              <w:rFonts w:asciiTheme="minorHAnsi" w:hAnsiTheme="minorHAnsi" w:cstheme="minorHAnsi"/>
              <w:color w:val="FFFFFF" w:themeColor="background1"/>
              <w:sz w:val="16"/>
              <w:szCs w:val="16"/>
            </w:rPr>
            <w:t xml:space="preserve"> PROYECTOS</w:t>
          </w:r>
        </w:p>
        <w:p w:rsidR="00A450D4" w:rsidRPr="00331B56" w:rsidRDefault="00A450D4" w:rsidP="00A450D4">
          <w:pPr>
            <w:pStyle w:val="Piedepgina"/>
            <w:jc w:val="center"/>
            <w:rPr>
              <w:rFonts w:asciiTheme="minorHAnsi" w:hAnsiTheme="minorHAnsi" w:cstheme="minorHAnsi"/>
              <w:color w:val="FFFFFF" w:themeColor="background1"/>
              <w:sz w:val="16"/>
              <w:szCs w:val="16"/>
              <w:lang w:val="en-US"/>
            </w:rPr>
          </w:pPr>
          <w:r w:rsidRPr="00331B56">
            <w:rPr>
              <w:rFonts w:asciiTheme="minorHAnsi" w:hAnsiTheme="minorHAnsi" w:cstheme="minorHAnsi"/>
              <w:color w:val="FFFFFF" w:themeColor="background1"/>
              <w:sz w:val="16"/>
              <w:szCs w:val="16"/>
              <w:lang w:val="en-US"/>
            </w:rPr>
            <w:t>UIP - UDC - DRCB - GRGD -YPFB</w:t>
          </w:r>
        </w:p>
      </w:tc>
      <w:tc>
        <w:tcPr>
          <w:tcW w:w="3118" w:type="dxa"/>
          <w:shd w:val="clear" w:color="auto" w:fill="auto"/>
          <w:vAlign w:val="center"/>
        </w:tcPr>
        <w:p w:rsidR="006A5780" w:rsidRPr="00331B56" w:rsidRDefault="006A5780" w:rsidP="006A5780">
          <w:pPr>
            <w:jc w:val="center"/>
            <w:rPr>
              <w:rFonts w:asciiTheme="minorHAnsi" w:hAnsiTheme="minorHAnsi" w:cstheme="minorHAnsi"/>
              <w:b/>
              <w:bCs/>
              <w:color w:val="FFFFFF" w:themeColor="background1"/>
              <w:sz w:val="16"/>
              <w:szCs w:val="16"/>
              <w:lang w:val="es-BO" w:eastAsia="en-US"/>
            </w:rPr>
          </w:pPr>
          <w:r w:rsidRPr="00331B56">
            <w:rPr>
              <w:rFonts w:asciiTheme="minorHAnsi" w:hAnsiTheme="minorHAnsi" w:cstheme="minorHAnsi"/>
              <w:b/>
              <w:bCs/>
              <w:color w:val="FFFFFF" w:themeColor="background1"/>
              <w:sz w:val="16"/>
              <w:szCs w:val="16"/>
              <w:lang w:val="es-BO" w:eastAsia="en-US"/>
            </w:rPr>
            <w:t xml:space="preserve">Ing. </w:t>
          </w:r>
        </w:p>
        <w:p w:rsidR="006A5780" w:rsidRPr="00331B56" w:rsidRDefault="006A5780" w:rsidP="006A5780">
          <w:pPr>
            <w:jc w:val="center"/>
            <w:rPr>
              <w:rFonts w:asciiTheme="minorHAnsi" w:hAnsiTheme="minorHAnsi" w:cstheme="minorHAnsi"/>
              <w:bCs/>
              <w:color w:val="FFFFFF" w:themeColor="background1"/>
              <w:sz w:val="16"/>
              <w:szCs w:val="16"/>
              <w:lang w:val="es-BO" w:eastAsia="en-US"/>
            </w:rPr>
          </w:pPr>
          <w:r w:rsidRPr="00331B56">
            <w:rPr>
              <w:rFonts w:asciiTheme="minorHAnsi" w:hAnsiTheme="minorHAnsi" w:cstheme="minorHAnsi"/>
              <w:bCs/>
              <w:color w:val="FFFFFF" w:themeColor="background1"/>
              <w:sz w:val="16"/>
              <w:szCs w:val="16"/>
              <w:lang w:val="es-BO" w:eastAsia="en-US"/>
            </w:rPr>
            <w:t>RESPONSABLE DE INGENIERIA Y PROYECTOS</w:t>
          </w:r>
        </w:p>
        <w:p w:rsidR="00A450D4" w:rsidRPr="00331B56" w:rsidRDefault="006A5780" w:rsidP="006A5780">
          <w:pPr>
            <w:pStyle w:val="Piedepgina"/>
            <w:jc w:val="center"/>
            <w:rPr>
              <w:rFonts w:asciiTheme="minorHAnsi" w:hAnsiTheme="minorHAnsi" w:cstheme="minorHAnsi"/>
              <w:color w:val="FFFFFF" w:themeColor="background1"/>
              <w:sz w:val="16"/>
              <w:szCs w:val="16"/>
              <w:lang w:val="en-US"/>
            </w:rPr>
          </w:pPr>
          <w:r w:rsidRPr="00331B56">
            <w:rPr>
              <w:rFonts w:asciiTheme="minorHAnsi" w:hAnsiTheme="minorHAnsi" w:cstheme="minorHAnsi"/>
              <w:bCs/>
              <w:color w:val="FFFFFF" w:themeColor="background1"/>
              <w:sz w:val="16"/>
              <w:szCs w:val="16"/>
              <w:lang w:val="en-US" w:eastAsia="en-US"/>
            </w:rPr>
            <w:t>UIP - UDC - DRCB - GRGD -YPFB</w:t>
          </w:r>
        </w:p>
      </w:tc>
      <w:tc>
        <w:tcPr>
          <w:tcW w:w="3544" w:type="dxa"/>
          <w:shd w:val="clear" w:color="auto" w:fill="auto"/>
          <w:vAlign w:val="center"/>
        </w:tcPr>
        <w:p w:rsidR="00A450D4" w:rsidRPr="00331B56" w:rsidRDefault="00A450D4" w:rsidP="00A450D4">
          <w:pPr>
            <w:jc w:val="center"/>
            <w:rPr>
              <w:rFonts w:asciiTheme="minorHAnsi" w:hAnsiTheme="minorHAnsi" w:cstheme="minorHAnsi"/>
              <w:b/>
              <w:bCs/>
              <w:color w:val="FFFFFF" w:themeColor="background1"/>
              <w:sz w:val="16"/>
              <w:szCs w:val="16"/>
              <w:lang w:val="es-BO" w:eastAsia="en-US"/>
            </w:rPr>
          </w:pPr>
          <w:r w:rsidRPr="00331B56">
            <w:rPr>
              <w:rFonts w:asciiTheme="minorHAnsi" w:hAnsiTheme="minorHAnsi" w:cstheme="minorHAnsi"/>
              <w:b/>
              <w:bCs/>
              <w:color w:val="FFFFFF" w:themeColor="background1"/>
              <w:sz w:val="16"/>
              <w:szCs w:val="16"/>
              <w:lang w:val="es-BO" w:eastAsia="en-US"/>
            </w:rPr>
            <w:t xml:space="preserve">Ing. </w:t>
          </w:r>
        </w:p>
        <w:p w:rsidR="00A450D4" w:rsidRPr="00331B56" w:rsidRDefault="00A450D4" w:rsidP="00A450D4">
          <w:pPr>
            <w:jc w:val="center"/>
            <w:rPr>
              <w:rFonts w:asciiTheme="minorHAnsi" w:hAnsiTheme="minorHAnsi" w:cstheme="minorHAnsi"/>
              <w:b/>
              <w:bCs/>
              <w:color w:val="FFFFFF" w:themeColor="background1"/>
              <w:sz w:val="16"/>
              <w:szCs w:val="16"/>
              <w:lang w:val="es-BO" w:eastAsia="en-US"/>
            </w:rPr>
          </w:pPr>
          <w:r w:rsidRPr="00331B56">
            <w:rPr>
              <w:rFonts w:asciiTheme="minorHAnsi" w:hAnsiTheme="minorHAnsi" w:cstheme="minorHAnsi"/>
              <w:color w:val="FFFFFF" w:themeColor="background1"/>
              <w:sz w:val="16"/>
              <w:szCs w:val="16"/>
              <w:lang w:val="es-BO" w:eastAsia="en-US"/>
            </w:rPr>
            <w:t xml:space="preserve">JEFE UNIDAD DISTRITAL DE CONSTRUCCIONES </w:t>
          </w:r>
          <w:proofErr w:type="spellStart"/>
          <w:r w:rsidRPr="00331B56">
            <w:rPr>
              <w:rFonts w:asciiTheme="minorHAnsi" w:hAnsiTheme="minorHAnsi" w:cstheme="minorHAnsi"/>
              <w:color w:val="FFFFFF" w:themeColor="background1"/>
              <w:sz w:val="16"/>
              <w:szCs w:val="16"/>
              <w:lang w:val="es-BO" w:eastAsia="en-US"/>
            </w:rPr>
            <w:t>a.i.</w:t>
          </w:r>
          <w:proofErr w:type="spellEnd"/>
        </w:p>
        <w:p w:rsidR="00A450D4" w:rsidRPr="00331B56" w:rsidRDefault="00A450D4" w:rsidP="00A450D4">
          <w:pPr>
            <w:pStyle w:val="Piedepgina"/>
            <w:jc w:val="center"/>
            <w:rPr>
              <w:rFonts w:asciiTheme="minorHAnsi" w:hAnsiTheme="minorHAnsi" w:cstheme="minorHAnsi"/>
              <w:color w:val="FFFFFF" w:themeColor="background1"/>
              <w:sz w:val="16"/>
              <w:szCs w:val="16"/>
            </w:rPr>
          </w:pPr>
          <w:r w:rsidRPr="00331B56">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C1" w:rsidRDefault="00B76CC1" w:rsidP="00E92156">
      <w:r>
        <w:separator/>
      </w:r>
    </w:p>
  </w:footnote>
  <w:footnote w:type="continuationSeparator" w:id="0">
    <w:p w:rsidR="00B76CC1" w:rsidRDefault="00B76CC1"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E859AC" w:rsidRPr="00E859AC">
            <w:rPr>
              <w:rFonts w:asciiTheme="minorHAnsi" w:hAnsiTheme="minorHAnsi"/>
              <w:sz w:val="18"/>
              <w:szCs w:val="18"/>
            </w:rPr>
            <w:t>OBRAS CIVILES Y MECANICAS CONSTRUCCION RED SECUNDARIA AMPLIACIONES MUNICIPIOS DE PUNATA, ARANI Y SAN BENITO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31B56">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31B56">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643"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1B56"/>
    <w:rsid w:val="00333C5E"/>
    <w:rsid w:val="00347FBA"/>
    <w:rsid w:val="00350C17"/>
    <w:rsid w:val="003A2567"/>
    <w:rsid w:val="003A3088"/>
    <w:rsid w:val="003A32E7"/>
    <w:rsid w:val="003C6E4C"/>
    <w:rsid w:val="003D6001"/>
    <w:rsid w:val="003D6404"/>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D1308"/>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707FB"/>
    <w:rsid w:val="00996BF5"/>
    <w:rsid w:val="00A450D4"/>
    <w:rsid w:val="00A67E35"/>
    <w:rsid w:val="00AD5AB4"/>
    <w:rsid w:val="00AE247F"/>
    <w:rsid w:val="00AE2BD3"/>
    <w:rsid w:val="00AE5167"/>
    <w:rsid w:val="00B2486F"/>
    <w:rsid w:val="00B278BD"/>
    <w:rsid w:val="00B3406B"/>
    <w:rsid w:val="00B514F2"/>
    <w:rsid w:val="00B622FE"/>
    <w:rsid w:val="00B76CC1"/>
    <w:rsid w:val="00B9515A"/>
    <w:rsid w:val="00BC050D"/>
    <w:rsid w:val="00C13EE4"/>
    <w:rsid w:val="00C65404"/>
    <w:rsid w:val="00C8287B"/>
    <w:rsid w:val="00C84243"/>
    <w:rsid w:val="00CE66DE"/>
    <w:rsid w:val="00D00A8C"/>
    <w:rsid w:val="00D14AE7"/>
    <w:rsid w:val="00D24C3F"/>
    <w:rsid w:val="00D2561F"/>
    <w:rsid w:val="00D34D64"/>
    <w:rsid w:val="00D40887"/>
    <w:rsid w:val="00D5156C"/>
    <w:rsid w:val="00D575DC"/>
    <w:rsid w:val="00D6134F"/>
    <w:rsid w:val="00DD3076"/>
    <w:rsid w:val="00E16918"/>
    <w:rsid w:val="00E31473"/>
    <w:rsid w:val="00E4303F"/>
    <w:rsid w:val="00E806D0"/>
    <w:rsid w:val="00E859AC"/>
    <w:rsid w:val="00E92156"/>
    <w:rsid w:val="00E94D22"/>
    <w:rsid w:val="00ED359F"/>
    <w:rsid w:val="00ED45EA"/>
    <w:rsid w:val="00ED7806"/>
    <w:rsid w:val="00EE5520"/>
    <w:rsid w:val="00F37C49"/>
    <w:rsid w:val="00F54AB6"/>
    <w:rsid w:val="00F61F8E"/>
    <w:rsid w:val="00F700A2"/>
    <w:rsid w:val="00F9584C"/>
    <w:rsid w:val="00FD5561"/>
    <w:rsid w:val="00FF0CB9"/>
    <w:rsid w:val="00FF4AEA"/>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82FEA-4C90-4888-B883-6D09848C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4335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Ismael Rodrigo  Caballero Rojas</cp:lastModifiedBy>
  <cp:revision>10</cp:revision>
  <cp:lastPrinted>2018-11-26T15:51:00Z</cp:lastPrinted>
  <dcterms:created xsi:type="dcterms:W3CDTF">2018-10-16T20:00:00Z</dcterms:created>
  <dcterms:modified xsi:type="dcterms:W3CDTF">2018-12-11T16:22:00Z</dcterms:modified>
</cp:coreProperties>
</file>