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873316" w:rsidRDefault="00AD3A56" w:rsidP="00910E64">
      <w:pPr>
        <w:pStyle w:val="Ttulo3"/>
        <w:keepLines w:val="0"/>
        <w:numPr>
          <w:ilvl w:val="0"/>
          <w:numId w:val="38"/>
        </w:numPr>
        <w:spacing w:before="240"/>
        <w:contextualSpacing/>
        <w:jc w:val="both"/>
        <w:rPr>
          <w:rFonts w:asciiTheme="minorHAnsi" w:eastAsia="Times New Roman" w:hAnsiTheme="minorHAnsi" w:cstheme="minorHAnsi"/>
          <w:iCs/>
          <w:color w:val="4472C4" w:themeColor="accent5"/>
          <w:lang w:val="es-ES_tradnl" w:eastAsia="es-ES"/>
        </w:rPr>
      </w:pPr>
      <w:r>
        <w:rPr>
          <w:rFonts w:asciiTheme="minorHAnsi" w:eastAsia="Times New Roman" w:hAnsiTheme="minorHAnsi" w:cstheme="minorHAnsi"/>
          <w:iCs/>
          <w:color w:val="4472C4" w:themeColor="accent5"/>
          <w:lang w:val="es-ES_tradnl" w:eastAsia="es-ES"/>
        </w:rPr>
        <w:t>MOVILIZACIÓN Y</w:t>
      </w:r>
      <w:r w:rsidR="0031499A" w:rsidRPr="00873316">
        <w:rPr>
          <w:rFonts w:asciiTheme="minorHAnsi" w:eastAsia="Times New Roman" w:hAnsiTheme="minorHAnsi" w:cstheme="minorHAnsi"/>
          <w:iCs/>
          <w:color w:val="4472C4" w:themeColor="accent5"/>
          <w:lang w:val="es-ES_tradnl" w:eastAsia="es-ES"/>
        </w:rPr>
        <w:t xml:space="preserve"> DESMOVILIZACIÓN DE EQUIPO, MATERIAL, HERRAMIENTAS Y PERSONAL.</w:t>
      </w:r>
    </w:p>
    <w:p w:rsidR="00873316" w:rsidRPr="00BA4C43" w:rsidRDefault="00745B31" w:rsidP="0031499A">
      <w:pPr>
        <w:autoSpaceDE w:val="0"/>
        <w:autoSpaceDN w:val="0"/>
        <w:adjustRightInd w:val="0"/>
        <w:contextualSpacing/>
        <w:jc w:val="both"/>
        <w:rPr>
          <w:rFonts w:asciiTheme="minorHAnsi" w:hAnsiTheme="minorHAnsi" w:cstheme="minorHAnsi"/>
          <w:b/>
          <w:sz w:val="20"/>
          <w:szCs w:val="20"/>
        </w:rPr>
      </w:pPr>
      <w:r>
        <w:rPr>
          <w:rFonts w:asciiTheme="minorHAnsi" w:hAnsiTheme="minorHAnsi" w:cstheme="minorHAnsi"/>
          <w:b/>
          <w:sz w:val="20"/>
          <w:szCs w:val="20"/>
        </w:rPr>
        <w:t xml:space="preserve">UNIDAD: </w:t>
      </w:r>
      <w:proofErr w:type="spellStart"/>
      <w:r>
        <w:rPr>
          <w:rFonts w:asciiTheme="minorHAnsi" w:hAnsiTheme="minorHAnsi" w:cstheme="minorHAnsi"/>
          <w:b/>
          <w:sz w:val="20"/>
          <w:szCs w:val="20"/>
        </w:rPr>
        <w:t>Glb</w:t>
      </w:r>
      <w:proofErr w:type="spellEnd"/>
      <w:r>
        <w:rPr>
          <w:rFonts w:asciiTheme="minorHAnsi" w:hAnsiTheme="minorHAnsi" w:cstheme="minorHAnsi"/>
          <w:b/>
          <w:sz w:val="20"/>
          <w:szCs w:val="20"/>
        </w:rPr>
        <w:t xml:space="preserve"> (Global)</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w:t>
      </w:r>
      <w:r w:rsidR="0069557B">
        <w:rPr>
          <w:rFonts w:asciiTheme="minorHAnsi" w:eastAsiaTheme="minorHAnsi" w:hAnsiTheme="minorHAnsi" w:cstheme="minorHAnsi"/>
          <w:sz w:val="20"/>
          <w:szCs w:val="20"/>
          <w:lang w:val="es-BO" w:eastAsia="en-US"/>
        </w:rPr>
        <w:t xml:space="preserve"> al menos un vehículo para su transporte</w:t>
      </w:r>
      <w:bookmarkStart w:id="0" w:name="_GoBack"/>
      <w:bookmarkEnd w:id="0"/>
      <w:r w:rsidR="0069557B">
        <w:rPr>
          <w:rFonts w:asciiTheme="minorHAnsi" w:eastAsiaTheme="minorHAnsi" w:hAnsiTheme="minorHAnsi" w:cstheme="minorHAnsi"/>
          <w:sz w:val="20"/>
          <w:szCs w:val="20"/>
          <w:lang w:val="es-BO" w:eastAsia="en-US"/>
        </w:rPr>
        <w:t xml:space="preserve"> y</w:t>
      </w:r>
      <w:r w:rsidRPr="005A3330">
        <w:rPr>
          <w:rFonts w:asciiTheme="minorHAnsi" w:eastAsiaTheme="minorHAnsi" w:hAnsiTheme="minorHAnsi" w:cstheme="minorHAnsi"/>
          <w:sz w:val="20"/>
          <w:szCs w:val="20"/>
          <w:lang w:val="es-BO" w:eastAsia="en-US"/>
        </w:rPr>
        <w:t xml:space="preserve">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293A60">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293A60">
      <w:pPr>
        <w:jc w:val="both"/>
        <w:rPr>
          <w:rFonts w:asciiTheme="minorHAnsi" w:hAnsiTheme="minorHAnsi" w:cstheme="minorHAnsi"/>
          <w:kern w:val="28"/>
          <w:sz w:val="20"/>
          <w:szCs w:val="20"/>
          <w:lang w:val="es-ES_tradnl"/>
        </w:rPr>
      </w:pPr>
    </w:p>
    <w:p w:rsidR="0031499A" w:rsidRPr="005A3330" w:rsidRDefault="0031499A" w:rsidP="00293A60">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5A3330">
        <w:rPr>
          <w:rFonts w:asciiTheme="minorHAnsi" w:hAnsiTheme="minorHAnsi" w:cstheme="minorHAnsi"/>
          <w:kern w:val="28"/>
          <w:sz w:val="20"/>
          <w:szCs w:val="20"/>
          <w:lang w:val="es-ES_tradnl"/>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293A60">
      <w:pPr>
        <w:jc w:val="both"/>
        <w:rPr>
          <w:rFonts w:asciiTheme="minorHAnsi" w:hAnsiTheme="minorHAnsi" w:cstheme="minorHAnsi"/>
          <w:kern w:val="28"/>
          <w:sz w:val="20"/>
          <w:szCs w:val="20"/>
          <w:lang w:val="es-ES_tradnl"/>
        </w:rPr>
      </w:pPr>
    </w:p>
    <w:p w:rsidR="0031499A" w:rsidRPr="005A3330" w:rsidRDefault="0031499A" w:rsidP="00293A60">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293A60">
      <w:pPr>
        <w:jc w:val="both"/>
        <w:rPr>
          <w:rFonts w:asciiTheme="minorHAnsi" w:hAnsiTheme="minorHAnsi" w:cstheme="minorHAnsi"/>
          <w:kern w:val="28"/>
          <w:sz w:val="20"/>
          <w:szCs w:val="20"/>
          <w:lang w:val="es-ES_tradnl"/>
        </w:rPr>
      </w:pPr>
    </w:p>
    <w:p w:rsidR="0031499A" w:rsidRPr="005A3330" w:rsidRDefault="0031499A" w:rsidP="00293A60">
      <w:pPr>
        <w:jc w:val="both"/>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MEDICIÓN Y FORMA DE PAGO</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Pr="005A333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F4305"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sz w:val="20"/>
          <w:szCs w:val="20"/>
        </w:rPr>
      </w:pPr>
      <w:r w:rsidRPr="001F4305">
        <w:rPr>
          <w:rFonts w:asciiTheme="minorHAnsi" w:eastAsia="Times New Roman" w:hAnsiTheme="minorHAnsi" w:cstheme="minorHAnsi"/>
          <w:color w:val="4472C4" w:themeColor="accent5"/>
          <w:sz w:val="20"/>
          <w:szCs w:val="20"/>
        </w:rPr>
        <w:lastRenderedPageBreak/>
        <w:t>EXCAVACIÓN DE ZANJA TERRENO SEMI DURO.</w:t>
      </w:r>
      <w:r w:rsidRPr="001F4305">
        <w:rPr>
          <w:rFonts w:asciiTheme="minorHAnsi" w:hAnsiTheme="minorHAnsi" w:cstheme="minorHAnsi"/>
          <w:color w:val="4472C4" w:themeColor="accent5"/>
          <w:sz w:val="20"/>
          <w:szCs w:val="20"/>
        </w:rPr>
        <w:t xml:space="preserve"> </w:t>
      </w:r>
    </w:p>
    <w:p w:rsidR="0031499A" w:rsidRPr="00745B31" w:rsidRDefault="0031499A" w:rsidP="0031499A">
      <w:pPr>
        <w:contextualSpacing/>
        <w:jc w:val="both"/>
        <w:rPr>
          <w:rFonts w:asciiTheme="minorHAnsi" w:hAnsiTheme="minorHAnsi" w:cstheme="minorHAnsi"/>
          <w:b/>
          <w:sz w:val="20"/>
          <w:szCs w:val="20"/>
        </w:rPr>
      </w:pPr>
      <w:r w:rsidRPr="00BA4C43">
        <w:rPr>
          <w:rFonts w:asciiTheme="minorHAnsi" w:hAnsiTheme="minorHAnsi" w:cstheme="minorHAnsi"/>
          <w:b/>
          <w:sz w:val="20"/>
          <w:szCs w:val="20"/>
        </w:rPr>
        <w:t>UNIDAD: m</w:t>
      </w:r>
      <w:r w:rsidRPr="00BA4C43">
        <w:rPr>
          <w:rFonts w:asciiTheme="minorHAnsi" w:hAnsiTheme="minorHAnsi" w:cstheme="minorHAnsi"/>
          <w:b/>
          <w:sz w:val="20"/>
          <w:szCs w:val="20"/>
          <w:vertAlign w:val="superscript"/>
        </w:rPr>
        <w:t>3</w:t>
      </w:r>
      <w:r w:rsidR="00745B31">
        <w:rPr>
          <w:rFonts w:asciiTheme="minorHAnsi" w:hAnsiTheme="minorHAnsi" w:cstheme="minorHAnsi"/>
          <w:b/>
          <w:sz w:val="20"/>
          <w:szCs w:val="20"/>
          <w:vertAlign w:val="superscript"/>
        </w:rPr>
        <w:t xml:space="preserve"> </w:t>
      </w:r>
      <w:r w:rsidR="00745B31">
        <w:rPr>
          <w:rFonts w:asciiTheme="minorHAnsi" w:hAnsiTheme="minorHAnsi" w:cstheme="minorHAnsi"/>
          <w:b/>
          <w:sz w:val="20"/>
          <w:szCs w:val="20"/>
        </w:rPr>
        <w:t>(Metro Cubico)</w:t>
      </w:r>
    </w:p>
    <w:p w:rsidR="0031499A" w:rsidRPr="001F4305"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DEFINICIÓN.</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eastAsia="Arial Unicode MS" w:hAnsiTheme="minorHAnsi" w:cstheme="minorHAnsi"/>
          <w:sz w:val="20"/>
          <w:szCs w:val="20"/>
          <w:lang w:val="es-ES_tradnl"/>
        </w:rPr>
        <w:t>Este ítem comprende los trabajos necesarios para</w:t>
      </w:r>
      <w:r w:rsidRPr="005A3330" w:rsidDel="00761165">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 xml:space="preserve"> la excavación en zanja en terreno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 xml:space="preserve">-duro esto con la finalidad de realizar el tendido de tuberías de acero negro al carbón  en sus distintos diámetros, actividad  a ser realizada de acuerdo a especificaciones, planos, gráficos </w:t>
      </w:r>
      <w:r w:rsidRPr="005A3330">
        <w:rPr>
          <w:rFonts w:asciiTheme="minorHAnsi" w:eastAsia="Arial Unicode MS" w:hAnsiTheme="minorHAnsi" w:cstheme="minorHAnsi"/>
          <w:sz w:val="20"/>
          <w:szCs w:val="20"/>
          <w:lang w:val="es-ES_tradnl"/>
        </w:rPr>
        <w:t>y/o</w:t>
      </w:r>
      <w:r w:rsidRPr="005A3330">
        <w:rPr>
          <w:rFonts w:asciiTheme="minorHAnsi" w:eastAsia="Arial Unicode MS" w:hAnsiTheme="minorHAnsi" w:cstheme="minorHAnsi"/>
          <w:b/>
          <w:sz w:val="20"/>
          <w:szCs w:val="20"/>
          <w:lang w:val="es-ES_tradnl"/>
        </w:rPr>
        <w:t xml:space="preserve"> instrucciones emitidas por el SUPERVISOR DE OBRA</w:t>
      </w:r>
      <w:r w:rsidRPr="005A3330">
        <w:rPr>
          <w:rFonts w:asciiTheme="minorHAnsi" w:hAnsiTheme="minorHAnsi" w:cstheme="minorHAnsi"/>
          <w:kern w:val="28"/>
          <w:sz w:val="20"/>
          <w:szCs w:val="20"/>
          <w:lang w:val="es-ES_tradnl"/>
        </w:rPr>
        <w:t xml:space="preserve">, utilizando medios mecánicos o manuales. En este ítem se incluye cualquier desbroce superficial </w:t>
      </w:r>
      <w:r w:rsidRPr="005A3330">
        <w:rPr>
          <w:rFonts w:asciiTheme="minorHAnsi" w:hAnsiTheme="minorHAnsi" w:cstheme="minorHAnsi"/>
          <w:sz w:val="20"/>
          <w:szCs w:val="20"/>
        </w:rPr>
        <w:t>de acuerdo a la naturaleza y características del suelo a excavarse durante el Proyecto, se establece en este ítem el tipo de suelo:</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pStyle w:val="PARRAFO"/>
        <w:spacing w:after="0" w:afterAutospacing="0" w:line="240" w:lineRule="auto"/>
        <w:contextualSpacing/>
        <w:rPr>
          <w:sz w:val="20"/>
          <w:szCs w:val="20"/>
          <w:u w:val="single"/>
          <w:lang w:val="es-BO"/>
        </w:rPr>
      </w:pPr>
      <w:r w:rsidRPr="005A3330">
        <w:rPr>
          <w:sz w:val="20"/>
          <w:szCs w:val="20"/>
          <w:u w:val="single"/>
          <w:lang w:val="es-BO"/>
        </w:rPr>
        <w:t xml:space="preserve">Terreno Semiduro a Duro Tipo II: Terreno arcilloso, ripioso, maicillo disgregable con la mano y en general terrenos agrícolas compactos. </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MATERIALES, HERRAMIENTAS Y EQUIPO.</w:t>
      </w:r>
    </w:p>
    <w:p w:rsidR="001F4305" w:rsidRPr="001F4305" w:rsidRDefault="001F4305" w:rsidP="001F4305">
      <w:pPr>
        <w:rPr>
          <w:lang w:val="es-BO" w:eastAsia="en-US"/>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como retroexcavadora, (palas, picotas, barretas, carretillas, etc.) para la ejecución de los trabajos, los mismos deberán ser aprobados por el SUPERVISOR DE OBRA al Inicio de la actividad</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PROCEDIMIENTO PARA LA EJECUCIÓN.</w:t>
      </w:r>
    </w:p>
    <w:p w:rsidR="001F4305" w:rsidRPr="001F4305" w:rsidRDefault="001F4305" w:rsidP="001F4305">
      <w:pPr>
        <w:rPr>
          <w:lang w:val="es-BO" w:eastAsia="en-US"/>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Se dará inicio al ítem de excavaciones siempre y cuando su inicio sea aprobado por el SUPERVISOR DE OBRA en cada tramo.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Cuando la excavación haya alcanzado la profundidad y perfilado de acuerdo a los planos e instrucciones emitidas del SUPERVISOR DE OBRA, se procederá a la limpieza con el retiro de todo tipo de material que pueda dañar la tubería.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5A3330">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En caso de presencia de agua debido a nivel freático, rotura de tuberías de Agua Potable y/o Alcantarillado u otros imprevistos requerirá del uso de bombas de Achique para mantener el nivel de agua bajo control mientras duren los trabajos.</w:t>
      </w:r>
      <w:r w:rsidRPr="005A3330" w:rsidDel="00FD6796">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Los costos adicionales de estas actividades estarán por cuenta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pStyle w:val="PARRAFO"/>
        <w:spacing w:after="0" w:afterAutospacing="0" w:line="240" w:lineRule="auto"/>
        <w:contextualSpacing/>
        <w:rPr>
          <w:sz w:val="20"/>
          <w:szCs w:val="20"/>
          <w:lang w:val="es-ES_tradnl"/>
        </w:rPr>
      </w:pPr>
      <w:r w:rsidRPr="005A3330">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Todas las excavaciones serán hechas a cielo abierto </w:t>
      </w:r>
      <w:r w:rsidRPr="005A3330">
        <w:rPr>
          <w:rFonts w:asciiTheme="minorHAnsi" w:eastAsia="Arial Unicode MS" w:hAnsiTheme="minorHAnsi" w:cstheme="minorHAnsi"/>
          <w:iCs/>
          <w:sz w:val="20"/>
          <w:szCs w:val="20"/>
          <w:lang w:val="es-ES_tradnl"/>
        </w:rPr>
        <w:t>de acuerdo a los planos del proyecto y según el replanteo autorizado por el SUPERVISOR DE OBRA</w:t>
      </w:r>
      <w:r w:rsidRPr="005A3330">
        <w:rPr>
          <w:rFonts w:asciiTheme="minorHAnsi" w:hAnsiTheme="minorHAnsi" w:cstheme="minorHAnsi"/>
          <w:kern w:val="28"/>
          <w:sz w:val="20"/>
          <w:szCs w:val="20"/>
          <w:lang w:val="es-ES_tradnl"/>
        </w:rPr>
        <w:t xml:space="preserve">.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Los </w:t>
      </w:r>
      <w:proofErr w:type="spellStart"/>
      <w:r w:rsidRPr="005A3330">
        <w:rPr>
          <w:rFonts w:asciiTheme="minorHAnsi" w:hAnsiTheme="minorHAnsi" w:cstheme="minorHAnsi"/>
          <w:kern w:val="28"/>
          <w:sz w:val="20"/>
          <w:szCs w:val="20"/>
          <w:lang w:val="es-ES_tradnl"/>
        </w:rPr>
        <w:t>entibamientos</w:t>
      </w:r>
      <w:proofErr w:type="spellEnd"/>
      <w:r w:rsidRPr="005A3330">
        <w:rPr>
          <w:rFonts w:asciiTheme="minorHAnsi" w:hAnsiTheme="minorHAnsi" w:cstheme="minorHAnsi"/>
          <w:kern w:val="28"/>
          <w:sz w:val="20"/>
          <w:szCs w:val="20"/>
          <w:lang w:val="es-ES_tradnl"/>
        </w:rPr>
        <w:t xml:space="preserve">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5A3330">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31499A">
      <w:pPr>
        <w:pStyle w:val="Estilo1"/>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P</w:t>
      </w:r>
      <w:r w:rsidRPr="005A3330">
        <w:rPr>
          <w:rFonts w:asciiTheme="minorHAnsi" w:eastAsia="Times New Roman" w:hAnsiTheme="minorHAnsi" w:cstheme="minorHAnsi"/>
          <w:bCs/>
          <w:sz w:val="20"/>
          <w:szCs w:val="20"/>
        </w:rPr>
        <w:t>revisiones aplicables a la excavación</w:t>
      </w:r>
    </w:p>
    <w:p w:rsidR="0031499A" w:rsidRPr="005A3330" w:rsidRDefault="0031499A" w:rsidP="0031499A">
      <w:pPr>
        <w:pStyle w:val="Estilo1"/>
        <w:contextualSpacing/>
        <w:rPr>
          <w:rFonts w:asciiTheme="minorHAnsi" w:eastAsia="Times New Roman" w:hAnsiTheme="minorHAnsi" w:cstheme="minorHAnsi"/>
          <w:bCs/>
          <w:sz w:val="20"/>
          <w:szCs w:val="20"/>
        </w:rPr>
      </w:pPr>
    </w:p>
    <w:p w:rsidR="0031499A" w:rsidRPr="005A3330" w:rsidRDefault="0031499A" w:rsidP="0031499A">
      <w:pPr>
        <w:tabs>
          <w:tab w:val="left" w:pos="2235"/>
        </w:tabs>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31499A">
      <w:pPr>
        <w:pStyle w:val="Estilo1"/>
        <w:contextualSpacing/>
        <w:rPr>
          <w:rFonts w:asciiTheme="minorHAnsi" w:hAnsiTheme="minorHAnsi" w:cstheme="minorHAnsi"/>
          <w:sz w:val="20"/>
          <w:szCs w:val="20"/>
        </w:rPr>
      </w:pPr>
      <w:r w:rsidRPr="005A3330">
        <w:rPr>
          <w:rFonts w:asciiTheme="minorHAnsi" w:hAnsiTheme="minorHAnsi" w:cstheme="minorHAnsi"/>
          <w:sz w:val="20"/>
          <w:szCs w:val="20"/>
        </w:rPr>
        <w:t>Sistemas Subterráneos.</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1B2CB3">
      <w:pPr>
        <w:pStyle w:val="Prrafodelista"/>
        <w:numPr>
          <w:ilvl w:val="0"/>
          <w:numId w:val="28"/>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Cruce con líneas enterradas existentes</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 ubicar cada uno de los puntos de cruce de la tubería acero negro al carbón con los sistemas existentes, en cada punto realizará la excavación con el objeto de determinar cómo se ejecutara el cruce.</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realizará el cruce por debajo o encima del sistema existente bajo autorización del SUPERVISOR DE OBRA.</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distancia mínima de separación del cruce que se genere con el Tendido de tubería de gas con otros sistemas, será de 30 cm o bajo evaluación del SUPERVISOR DE OBRA.</w:t>
      </w:r>
    </w:p>
    <w:p w:rsidR="0031499A" w:rsidRPr="005A3330" w:rsidRDefault="0031499A" w:rsidP="0031499A">
      <w:pPr>
        <w:pStyle w:val="Prrafodelista"/>
        <w:ind w:left="360"/>
        <w:contextualSpacing/>
        <w:jc w:val="both"/>
        <w:rPr>
          <w:rFonts w:asciiTheme="minorHAnsi" w:hAnsiTheme="minorHAnsi" w:cstheme="minorHAnsi"/>
          <w:kern w:val="28"/>
          <w:sz w:val="20"/>
          <w:szCs w:val="20"/>
          <w:lang w:val="es-ES_tradnl"/>
        </w:rPr>
      </w:pPr>
    </w:p>
    <w:p w:rsidR="0031499A" w:rsidRPr="005A3330" w:rsidRDefault="0031499A" w:rsidP="001B2CB3">
      <w:pPr>
        <w:numPr>
          <w:ilvl w:val="0"/>
          <w:numId w:val="28"/>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Paralelismo con líneas enterradas existentes</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Cuando el tendido se realice de forma paralela a otros sistemas subterráneos (en lo posible evitable), la tubería llevara una funda de protección de PVC (provista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Excavación para uniones de tubería</w:t>
      </w:r>
    </w:p>
    <w:p w:rsidR="0031499A" w:rsidRPr="001F4305"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1F4305">
        <w:rPr>
          <w:rFonts w:asciiTheme="minorHAnsi" w:hAnsiTheme="minorHAnsi" w:cstheme="minorHAnsi"/>
          <w:kern w:val="28"/>
          <w:sz w:val="20"/>
          <w:szCs w:val="20"/>
          <w:lang w:val="es-ES_tradnl"/>
        </w:rPr>
        <w:t xml:space="preserve">El CONTRATISTA deberá realizar las excavaciones para unión, garantizando en todo momento las mejores condiciones para que la unión de </w:t>
      </w:r>
      <w:proofErr w:type="spellStart"/>
      <w:r w:rsidRPr="001F4305">
        <w:rPr>
          <w:rFonts w:asciiTheme="minorHAnsi" w:hAnsiTheme="minorHAnsi" w:cstheme="minorHAnsi"/>
          <w:kern w:val="28"/>
          <w:sz w:val="20"/>
          <w:szCs w:val="20"/>
          <w:lang w:val="es-ES_tradnl"/>
        </w:rPr>
        <w:t>lingadas</w:t>
      </w:r>
      <w:proofErr w:type="spellEnd"/>
      <w:r w:rsidRPr="001F4305">
        <w:rPr>
          <w:rFonts w:asciiTheme="minorHAnsi" w:hAnsiTheme="minorHAnsi" w:cstheme="minorHAnsi"/>
          <w:kern w:val="28"/>
          <w:sz w:val="20"/>
          <w:szCs w:val="20"/>
          <w:lang w:val="es-ES_tradnl"/>
        </w:rPr>
        <w:t xml:space="preserve">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MEDIDAS DE MITIGACIÓN AMBIENTAL</w:t>
      </w:r>
    </w:p>
    <w:p w:rsidR="001F4305" w:rsidRPr="001F4305" w:rsidRDefault="001F4305" w:rsidP="001F4305">
      <w:pPr>
        <w:rPr>
          <w:lang w:val="es-BO" w:eastAsia="en-US"/>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F4305"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MEDICIÓN Y FORMA DE PAGO.</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31499A" w:rsidRDefault="0031499A" w:rsidP="0031499A">
      <w:pPr>
        <w:pStyle w:val="Ttulo3"/>
        <w:keepLines w:val="0"/>
        <w:numPr>
          <w:ilvl w:val="0"/>
          <w:numId w:val="0"/>
        </w:numPr>
        <w:spacing w:before="0" w:line="240" w:lineRule="auto"/>
        <w:ind w:left="720" w:hanging="720"/>
        <w:contextualSpacing/>
        <w:jc w:val="both"/>
        <w:rPr>
          <w:rFonts w:asciiTheme="minorHAnsi" w:hAnsiTheme="minorHAnsi" w:cstheme="minorHAnsi"/>
          <w:color w:val="auto"/>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Pr="00293A60" w:rsidRDefault="00293A60" w:rsidP="00293A60">
      <w:pPr>
        <w:rPr>
          <w:lang w:val="es-BO" w:eastAsia="en-US"/>
        </w:rPr>
      </w:pPr>
    </w:p>
    <w:p w:rsidR="0031499A" w:rsidRPr="001B2CB3" w:rsidRDefault="0031499A" w:rsidP="00910E64">
      <w:pPr>
        <w:pStyle w:val="Ttulo3"/>
        <w:keepLines w:val="0"/>
        <w:numPr>
          <w:ilvl w:val="0"/>
          <w:numId w:val="38"/>
        </w:numPr>
        <w:spacing w:before="240" w:line="360" w:lineRule="auto"/>
        <w:contextualSpacing/>
        <w:jc w:val="both"/>
        <w:rPr>
          <w:rFonts w:asciiTheme="minorHAnsi" w:eastAsia="Times New Roman" w:hAnsiTheme="minorHAnsi" w:cstheme="minorHAnsi"/>
          <w:bCs w:val="0"/>
          <w:color w:val="4472C4" w:themeColor="accent5"/>
          <w:kern w:val="28"/>
          <w:sz w:val="20"/>
          <w:szCs w:val="20"/>
        </w:rPr>
      </w:pPr>
      <w:r w:rsidRPr="001B2CB3">
        <w:rPr>
          <w:rFonts w:asciiTheme="minorHAnsi" w:eastAsiaTheme="minorHAnsi" w:hAnsiTheme="minorHAnsi" w:cstheme="minorHAnsi"/>
          <w:bCs w:val="0"/>
          <w:color w:val="4472C4" w:themeColor="accent5"/>
          <w:sz w:val="20"/>
          <w:szCs w:val="20"/>
        </w:rPr>
        <w:lastRenderedPageBreak/>
        <w:t>RELLENO Y COMPACTADO DE ZANJA CON MATERIAL FINO C/PROVISION</w:t>
      </w:r>
      <w:r w:rsidRPr="001B2CB3">
        <w:rPr>
          <w:rFonts w:asciiTheme="minorHAnsi" w:hAnsiTheme="minorHAnsi" w:cstheme="minorHAnsi"/>
          <w:color w:val="4472C4" w:themeColor="accent5"/>
          <w:sz w:val="20"/>
          <w:szCs w:val="20"/>
        </w:rPr>
        <w:t xml:space="preserve">. </w:t>
      </w:r>
    </w:p>
    <w:p w:rsidR="0031499A" w:rsidRPr="000D7AA3" w:rsidRDefault="0031499A" w:rsidP="001B2CB3">
      <w:pPr>
        <w:ind w:left="6"/>
        <w:contextualSpacing/>
        <w:jc w:val="both"/>
        <w:rPr>
          <w:rFonts w:asciiTheme="minorHAnsi" w:hAnsiTheme="minorHAnsi" w:cstheme="minorHAnsi"/>
          <w:b/>
          <w:sz w:val="20"/>
          <w:szCs w:val="20"/>
          <w:vertAlign w:val="superscript"/>
        </w:rPr>
      </w:pPr>
      <w:r w:rsidRPr="000D7AA3">
        <w:rPr>
          <w:rFonts w:asciiTheme="minorHAnsi" w:hAnsiTheme="minorHAnsi" w:cstheme="minorHAnsi"/>
          <w:b/>
          <w:sz w:val="20"/>
          <w:szCs w:val="20"/>
        </w:rPr>
        <w:t>UNIDAD:   m3</w:t>
      </w:r>
      <w:r w:rsidR="00745B31">
        <w:rPr>
          <w:rFonts w:asciiTheme="minorHAnsi" w:hAnsiTheme="minorHAnsi" w:cstheme="minorHAnsi"/>
          <w:b/>
          <w:sz w:val="20"/>
          <w:szCs w:val="20"/>
        </w:rPr>
        <w:t xml:space="preserve"> (Metro Cubico)</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DEFINICIÓN</w:t>
      </w:r>
      <w:r w:rsidRPr="001B2CB3">
        <w:rPr>
          <w:rFonts w:asciiTheme="minorHAnsi" w:eastAsiaTheme="minorHAnsi" w:hAnsiTheme="minorHAnsi" w:cstheme="minorHAnsi"/>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necesarios para el relleno y compactado de material fino en zanja; específicamente </w:t>
      </w:r>
      <w:r w:rsidRPr="005A3330">
        <w:rPr>
          <w:rFonts w:asciiTheme="minorHAnsi" w:eastAsiaTheme="minorHAnsi" w:hAnsiTheme="minorHAnsi" w:cstheme="minorHAnsi"/>
          <w:b/>
          <w:bCs/>
          <w:sz w:val="20"/>
          <w:szCs w:val="20"/>
          <w:lang w:val="es-BO" w:eastAsia="en-US"/>
        </w:rPr>
        <w:t>arena fina y/o Tierra cernida</w:t>
      </w:r>
      <w:r w:rsidRPr="005A3330">
        <w:rPr>
          <w:rFonts w:asciiTheme="minorHAnsi" w:eastAsiaTheme="minorHAnsi" w:hAnsiTheme="minorHAnsi" w:cstheme="minorHAnsi"/>
          <w:sz w:val="20"/>
          <w:szCs w:val="20"/>
          <w:lang w:val="es-BO" w:eastAsia="en-US"/>
        </w:rPr>
        <w:t xml:space="preserve">, la cual será prevista por el Ítem PROVISIÓN DE MATERIAL FINO existente dentro del Proyecto, de acuerdo a las características propias del terreno y consideraciones en el diseño para su colocación en zanja, considerando los procedimientos prescritos en la presente especificación o instrucciones del SUPERVISOR.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MATERIAL</w:t>
      </w:r>
      <w:r w:rsidRPr="001B2CB3">
        <w:rPr>
          <w:rFonts w:asciiTheme="minorHAnsi" w:eastAsiaTheme="minorHAnsi" w:hAnsiTheme="minorHAnsi" w:cstheme="minorHAnsi"/>
          <w:bCs w:val="0"/>
          <w:color w:val="auto"/>
          <w:sz w:val="20"/>
          <w:szCs w:val="20"/>
        </w:rPr>
        <w:t xml:space="preserve">, HERRAMIENTAS Y EQUIPO.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proporcionará los materiales, herramientas y equipos necesarios (varilla de medición, apisonadores manuales, etc.) para la ejecución de los trabajos, mismos que deberán ser aprobados por el SUPERVISOR.</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PROCEDIMIENTO</w:t>
      </w:r>
      <w:r w:rsidRPr="001B2CB3">
        <w:rPr>
          <w:rFonts w:asciiTheme="minorHAnsi" w:eastAsiaTheme="minorHAnsi" w:hAnsiTheme="minorHAnsi" w:cstheme="minorHAnsi"/>
          <w:bCs w:val="0"/>
          <w:color w:val="auto"/>
          <w:sz w:val="20"/>
          <w:szCs w:val="20"/>
        </w:rPr>
        <w:t xml:space="preserve">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Los trabajos de relleno y compactado de zanja con material fino serán autorizados por el SUPERVISOR, siempre y cuando se verifique en zanja lo siguiente: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zanja deberá estar perfilada con un ancho constante especificado en toda su profundidad, libre de cualquier escombro o cualquier otro elemento que pueda dañar la tubería.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En casos especiales o por razones técnicas el SUPERVISOR podrá autorizar la ejecución de obras de albañilería (hormigones y mampostería de ladrillo), para apoyar, proteger y separar la tubería, convenientemente de algún objeto enterrado. 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relleno y compactado de material fino o tierra cernida, se realizara en dos capas de material. La primera capa será llamada cama de la tubería con un espesor de 15 cm. la cual será nivelada y asentada tanto para aceras como para calzadas o vías.</w:t>
      </w:r>
    </w:p>
    <w:p w:rsidR="0031499A" w:rsidRPr="005A3330" w:rsidRDefault="0031499A" w:rsidP="0031499A">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Para la verificación de espesores se utilizara una varilla de medición.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acopio de arena fina será realizado con la señalización correspondiente para resguardar la seguridad y circulación vehicular/peatonal del sector. Los bordes de la zanja deberán encontrarse libres de material excavado u otros elementos perjudiciales considerando una distancia mínima de 20 cm; para evitar la caída de cualquier material al interior de la misma.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En caso de lluvia, rotura de tuberías de servicios básicos u otro incidente externo, que haya saturado o dañado el material de relleno, el CONTRATISTA deberá remover a su costo el material afectado o proveer material adecuado para el relleno. </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lastRenderedPageBreak/>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eastAsiaTheme="minorHAnsi" w:hAnsiTheme="minorHAnsi" w:cstheme="minorHAnsi"/>
          <w:sz w:val="20"/>
          <w:szCs w:val="20"/>
          <w:lang w:eastAsia="en-US"/>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MEDICIÓN</w:t>
      </w:r>
      <w:r w:rsidRPr="001B2CB3">
        <w:rPr>
          <w:rFonts w:asciiTheme="minorHAnsi" w:eastAsiaTheme="minorHAnsi" w:hAnsiTheme="minorHAnsi" w:cstheme="minorHAnsi"/>
          <w:bCs w:val="0"/>
          <w:color w:val="auto"/>
          <w:sz w:val="20"/>
          <w:szCs w:val="20"/>
        </w:rPr>
        <w:t xml:space="preserve"> Y FORMA DE PAGO.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ítem de relleno y compactado de arena fina será medido en metros cúbicos, de acuerdo a la geometría del espacio rellenado y compactado en su posición final. Secciones que serán aprobadas por el SUPERVISOR.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pago se efectuara de acuerdo al precio unitario de la propuesta aceptada.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En la medición se deberá descontar los volúmenes de material cernido que sean desplazados por las tuberías de HDPE y fundas de protección (PVC) en los cruces respectivos.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Dicho precio será compensación total por los materiales, mano de obra, herramientas, equipo y otros gastos que sean necesarios para la adecuada y correcta ejecución de los trabajos.</w:t>
      </w:r>
    </w:p>
    <w:p w:rsidR="0031499A" w:rsidRDefault="0031499A" w:rsidP="0031499A">
      <w:pPr>
        <w:pStyle w:val="Ttulo3"/>
        <w:keepLines w:val="0"/>
        <w:numPr>
          <w:ilvl w:val="0"/>
          <w:numId w:val="0"/>
        </w:numPr>
        <w:spacing w:before="0" w:line="240" w:lineRule="auto"/>
        <w:ind w:left="720" w:hanging="720"/>
        <w:contextualSpacing/>
        <w:jc w:val="both"/>
        <w:rPr>
          <w:rFonts w:asciiTheme="minorHAnsi" w:hAnsiTheme="minorHAnsi" w:cstheme="minorHAnsi"/>
          <w:color w:val="auto"/>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Pr="00293A60" w:rsidRDefault="00293A60" w:rsidP="00293A60">
      <w:pPr>
        <w:rPr>
          <w:lang w:val="es-BO" w:eastAsia="en-US"/>
        </w:rPr>
      </w:pPr>
    </w:p>
    <w:p w:rsidR="0031499A" w:rsidRPr="001B2CB3" w:rsidRDefault="0031499A" w:rsidP="00910E64">
      <w:pPr>
        <w:pStyle w:val="Ttulo3"/>
        <w:keepLines w:val="0"/>
        <w:numPr>
          <w:ilvl w:val="0"/>
          <w:numId w:val="38"/>
        </w:numPr>
        <w:spacing w:before="240" w:line="360" w:lineRule="auto"/>
        <w:contextualSpacing/>
        <w:jc w:val="both"/>
        <w:rPr>
          <w:rFonts w:asciiTheme="minorHAnsi" w:eastAsia="Times New Roman" w:hAnsiTheme="minorHAnsi" w:cstheme="minorHAnsi"/>
          <w:bCs w:val="0"/>
          <w:color w:val="4472C4" w:themeColor="accent5"/>
          <w:kern w:val="28"/>
          <w:sz w:val="20"/>
          <w:szCs w:val="20"/>
        </w:rPr>
      </w:pPr>
      <w:r w:rsidRPr="001B2CB3">
        <w:rPr>
          <w:rFonts w:asciiTheme="minorHAnsi" w:eastAsiaTheme="minorHAnsi" w:hAnsiTheme="minorHAnsi" w:cstheme="minorHAnsi"/>
          <w:bCs w:val="0"/>
          <w:color w:val="4472C4" w:themeColor="accent5"/>
          <w:sz w:val="20"/>
          <w:szCs w:val="20"/>
        </w:rPr>
        <w:lastRenderedPageBreak/>
        <w:t xml:space="preserve">RELLENO Y COMPACTADO DE ZANJA CON </w:t>
      </w:r>
      <w:r w:rsidR="00FA36C6" w:rsidRPr="001B2CB3">
        <w:rPr>
          <w:rFonts w:asciiTheme="minorHAnsi" w:eastAsiaTheme="minorHAnsi" w:hAnsiTheme="minorHAnsi" w:cstheme="minorHAnsi"/>
          <w:bCs w:val="0"/>
          <w:color w:val="4472C4" w:themeColor="accent5"/>
          <w:sz w:val="20"/>
          <w:szCs w:val="20"/>
        </w:rPr>
        <w:t>TIERRA</w:t>
      </w:r>
      <w:r w:rsidRPr="001B2CB3">
        <w:rPr>
          <w:rFonts w:asciiTheme="minorHAnsi" w:eastAsiaTheme="minorHAnsi" w:hAnsiTheme="minorHAnsi" w:cstheme="minorHAnsi"/>
          <w:bCs w:val="0"/>
          <w:color w:val="4472C4" w:themeColor="accent5"/>
          <w:sz w:val="20"/>
          <w:szCs w:val="20"/>
        </w:rPr>
        <w:t xml:space="preserve"> COMUN.</w:t>
      </w:r>
      <w:r w:rsidRPr="001B2CB3">
        <w:rPr>
          <w:rFonts w:asciiTheme="minorHAnsi" w:hAnsiTheme="minorHAnsi" w:cstheme="minorHAnsi"/>
          <w:color w:val="4472C4" w:themeColor="accent5"/>
          <w:sz w:val="20"/>
          <w:szCs w:val="20"/>
        </w:rPr>
        <w:t xml:space="preserve"> </w:t>
      </w:r>
    </w:p>
    <w:p w:rsidR="0031499A" w:rsidRPr="000D7AA3" w:rsidRDefault="0031499A" w:rsidP="0031499A">
      <w:pPr>
        <w:jc w:val="both"/>
        <w:rPr>
          <w:rFonts w:asciiTheme="minorHAnsi" w:hAnsiTheme="minorHAnsi" w:cstheme="minorHAnsi"/>
          <w:b/>
          <w:sz w:val="20"/>
          <w:szCs w:val="20"/>
        </w:rPr>
      </w:pPr>
      <w:r w:rsidRPr="000D7AA3">
        <w:rPr>
          <w:rFonts w:asciiTheme="minorHAnsi" w:hAnsiTheme="minorHAnsi" w:cstheme="minorHAnsi"/>
          <w:b/>
          <w:sz w:val="20"/>
          <w:szCs w:val="20"/>
        </w:rPr>
        <w:t>UNIDAD: m3</w:t>
      </w:r>
      <w:r w:rsidR="00745B31">
        <w:rPr>
          <w:rFonts w:asciiTheme="minorHAnsi" w:hAnsiTheme="minorHAnsi" w:cstheme="minorHAnsi"/>
          <w:b/>
          <w:sz w:val="20"/>
          <w:szCs w:val="20"/>
        </w:rPr>
        <w:t xml:space="preserve"> (Metro Cubico)</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DEFINICIÓN.</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comprende los trabajos de provisión, relleno y compactado con material común en sectores en los cuales no se pueda encontrar material de relleno,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Específicamente se refiere a la provisión y al empleo de tierra común o seleccionada, echada por capas, cada una debidamente compactada con máquina.</w:t>
      </w:r>
    </w:p>
    <w:p w:rsidR="0031499A" w:rsidRPr="005A3330" w:rsidRDefault="0031499A" w:rsidP="0031499A">
      <w:pPr>
        <w:jc w:val="both"/>
        <w:rPr>
          <w:rFonts w:asciiTheme="minorHAnsi" w:hAnsiTheme="minorHAnsi" w:cstheme="minorHAnsi"/>
          <w:sz w:val="20"/>
          <w:szCs w:val="20"/>
          <w:lang w:val="es-MX"/>
        </w:rPr>
      </w:pP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MATERIAL, HERRAMIENTAS Y EQUIPO.</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xml:space="preserve">) para la ejecución de los trabajos, los mismos deberán ser aprobados por el SUPERVISOR al Inicio de la actividad. </w:t>
      </w:r>
      <w:r w:rsidRPr="005A3330">
        <w:rPr>
          <w:rFonts w:asciiTheme="minorHAnsi" w:eastAsia="Arial Unicode MS" w:hAnsiTheme="minorHAnsi" w:cstheme="minorHAnsi"/>
          <w:sz w:val="20"/>
          <w:szCs w:val="20"/>
          <w:lang w:val="es-ES_tradnl"/>
        </w:rPr>
        <w:t xml:space="preserve">El material de relleno, será provisto de la misma excavación. </w:t>
      </w:r>
      <w:r w:rsidRPr="005A3330">
        <w:rPr>
          <w:rFonts w:asciiTheme="minorHAnsi" w:hAnsiTheme="minorHAnsi" w:cstheme="minorHAnsi"/>
          <w:sz w:val="20"/>
          <w:szCs w:val="20"/>
          <w:lang w:val="es-MX"/>
        </w:rPr>
        <w:t xml:space="preserve">El material de relleno a emplearse será preferentemente el mismo suelo extraído de la excavación,  libre de </w:t>
      </w:r>
      <w:proofErr w:type="spellStart"/>
      <w:r w:rsidRPr="005A3330">
        <w:rPr>
          <w:rFonts w:asciiTheme="minorHAnsi" w:hAnsiTheme="minorHAnsi" w:cstheme="minorHAnsi"/>
          <w:sz w:val="20"/>
          <w:szCs w:val="20"/>
          <w:lang w:val="es-MX"/>
        </w:rPr>
        <w:t>pedrones</w:t>
      </w:r>
      <w:proofErr w:type="spellEnd"/>
      <w:r w:rsidRPr="005A3330">
        <w:rPr>
          <w:rFonts w:asciiTheme="minorHAnsi" w:hAnsiTheme="minorHAnsi" w:cstheme="minorHAnsi"/>
          <w:sz w:val="20"/>
          <w:szCs w:val="20"/>
          <w:lang w:val="es-MX"/>
        </w:rPr>
        <w:t xml:space="preserve"> y material orgánico. En caso de que no se pueda utilizar dicho material de la excavación el CONTRATISTA proporcionara el material necesario autorizado por el SUPERVISOR DE OBRA sin costo adicional.</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Para efectuar el relleno, el CONTRATISTA deberá disponer en obra del número suficiente de compactadoras mecánicas exigido por el SUPERVISOR DE OBRA, en función a la longitud de la obra.</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PROCEDIMIENTO PARA LA EJECUCIÓN.</w:t>
      </w:r>
    </w:p>
    <w:p w:rsidR="0031499A" w:rsidRPr="005A3330" w:rsidRDefault="0031499A" w:rsidP="0031499A">
      <w:pPr>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provisión, relleno y compactado de zanja serán autorizados por el SUPERVISOR, siempre y cuando se verifique en zanja lo siguiente:</w:t>
      </w:r>
    </w:p>
    <w:p w:rsidR="0031499A" w:rsidRPr="005A3330" w:rsidRDefault="0031499A" w:rsidP="0031499A">
      <w:pPr>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La zanja deberá estar perfilada, libre de cualquier escombro o cualquier otro elemento que pueda dañar la tubería.</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A partir de la capa de relleno con tierra cernida, se colocará material de relleno (tierra común), en una altura de 55 centímetros en aceras y 65 centímetros en calzada.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autoSpaceDE w:val="0"/>
        <w:autoSpaceDN w:val="0"/>
        <w:adjustRightInd w:val="0"/>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lastRenderedPageBreak/>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El grado de compactación para vías con tráfico vehicular deberá ser de 95% del </w:t>
      </w:r>
      <w:proofErr w:type="spellStart"/>
      <w:r w:rsidRPr="005A3330">
        <w:rPr>
          <w:rFonts w:asciiTheme="minorHAnsi" w:hAnsiTheme="minorHAnsi" w:cstheme="minorHAnsi"/>
          <w:sz w:val="20"/>
          <w:szCs w:val="20"/>
          <w:lang w:val="es-MX"/>
        </w:rPr>
        <w:t>Proctor</w:t>
      </w:r>
      <w:proofErr w:type="spellEnd"/>
      <w:r w:rsidRPr="005A3330">
        <w:rPr>
          <w:rFonts w:asciiTheme="minorHAnsi" w:hAnsiTheme="minorHAnsi" w:cstheme="minorHAnsi"/>
          <w:sz w:val="20"/>
          <w:szCs w:val="20"/>
          <w:lang w:val="es-MX"/>
        </w:rPr>
        <w:t xml:space="preserve"> modificado. Y en el caso de veredas deberá ser del orden del 90% mínimo del </w:t>
      </w:r>
      <w:proofErr w:type="spellStart"/>
      <w:r w:rsidRPr="005A3330">
        <w:rPr>
          <w:rFonts w:asciiTheme="minorHAnsi" w:hAnsiTheme="minorHAnsi" w:cstheme="minorHAnsi"/>
          <w:sz w:val="20"/>
          <w:szCs w:val="20"/>
          <w:lang w:val="es-MX"/>
        </w:rPr>
        <w:t>Proctor</w:t>
      </w:r>
      <w:proofErr w:type="spellEnd"/>
      <w:r w:rsidRPr="005A3330">
        <w:rPr>
          <w:rFonts w:asciiTheme="minorHAnsi" w:hAnsiTheme="minorHAnsi" w:cstheme="minorHAnsi"/>
          <w:sz w:val="20"/>
          <w:szCs w:val="20"/>
          <w:lang w:val="es-MX"/>
        </w:rPr>
        <w:t xml:space="preserve"> modificado.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Las pruebas de laboratorio de suelos serán llevados a cabo por un laboratorio especializado, quedando a cargo del CONTRATISTA el costo de los mismos. </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de ser necesaria la utilización de agua para la compactación del suelo, la operación deberá ser previamente autorizada por la Supervisión.</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 tierra sobrante del tapado de zanjas, deberá ser retirada de inmediato, tan pronto como haya sido repuesto el </w:t>
      </w:r>
      <w:proofErr w:type="spellStart"/>
      <w:r w:rsidRPr="005A3330">
        <w:rPr>
          <w:rFonts w:asciiTheme="minorHAnsi" w:hAnsiTheme="minorHAnsi" w:cstheme="minorHAnsi"/>
          <w:sz w:val="20"/>
          <w:szCs w:val="20"/>
          <w:lang w:val="es-MX"/>
        </w:rPr>
        <w:t>contrapiso</w:t>
      </w:r>
      <w:proofErr w:type="spellEnd"/>
      <w:r w:rsidRPr="005A3330">
        <w:rPr>
          <w:rFonts w:asciiTheme="minorHAnsi" w:hAnsiTheme="minorHAnsi" w:cstheme="minorHAnsi"/>
          <w:sz w:val="20"/>
          <w:szCs w:val="20"/>
          <w:lang w:val="es-MX"/>
        </w:rPr>
        <w:t xml:space="preserve"> de la vereda o la base de la calzada.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cinta de señalización debe ser ubicada 40 cm antes del nivel superior de la zanja indicando la palabra "PRECAUCIÓN YPFB LÍNEA DE GAS", esta cinta de señalización para la zanja será otorgada por YPFB.</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Todas las áreas comprendidas en el trabajo deberán nivelarse en forma uniforme. La superficie final deberá entregarse libre de irregularidades.</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En todo momento los bordes de la zanja deberán tener un espacio libre de 20 cm; para evitar que el material excavado u otros elementos perjudiciales caigan a la zanja.  </w:t>
      </w:r>
    </w:p>
    <w:p w:rsidR="0031499A" w:rsidRPr="005A3330" w:rsidRDefault="0031499A" w:rsidP="0031499A">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culminado con el relleno y compactado, el CONTRATISTA una vez finalizada esta actividad deberá proceder al:</w:t>
      </w:r>
    </w:p>
    <w:p w:rsidR="0031499A" w:rsidRPr="005A3330" w:rsidRDefault="0031499A" w:rsidP="0031499A">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Retiro de todos los escombros y materiales en exceso o rechazados.</w:t>
      </w: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Restauración de la configuración original del terreno, después de la compactación mediante la reposición de aceras, calzadas, vías de circulación pública y privada, especialmente en las áreas con más casas o residencias.</w:t>
      </w: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que serán llevados a sitios autorizados.</w:t>
      </w: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lastRenderedPageBreak/>
        <w:t>Restaurar todas las construcciones, hasta dejarlas en condiciones mejores a las iniciales, cualquier observación de las autoridades municipales, implicará que el CONTRATISTA resolverá los problemas y asumirá el costo.</w:t>
      </w: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Excepto cuando se estableciera lo contrario, deben ser eliminados o removidos todos los accesos, puentes (ramplas), alcantarillas, </w:t>
      </w:r>
      <w:proofErr w:type="spellStart"/>
      <w:r w:rsidRPr="005A3330">
        <w:rPr>
          <w:rFonts w:asciiTheme="minorHAnsi" w:eastAsia="Arial Unicode MS" w:hAnsiTheme="minorHAnsi" w:cstheme="minorHAnsi"/>
          <w:sz w:val="20"/>
          <w:szCs w:val="20"/>
          <w:lang w:val="es-ES_tradnl"/>
        </w:rPr>
        <w:t>geotextiles</w:t>
      </w:r>
      <w:proofErr w:type="spellEnd"/>
      <w:r w:rsidRPr="005A3330">
        <w:rPr>
          <w:rFonts w:asciiTheme="minorHAnsi" w:eastAsia="Arial Unicode MS" w:hAnsiTheme="minorHAnsi" w:cstheme="minorHAnsi"/>
          <w:sz w:val="20"/>
          <w:szCs w:val="20"/>
          <w:lang w:val="es-ES_tradnl"/>
        </w:rPr>
        <w:t>, maderas y otras instalaciones provisionales (eventuales que surgen durante la construcción de la obra), utilizadas en los trabajos.</w:t>
      </w:r>
    </w:p>
    <w:p w:rsidR="0031499A" w:rsidRPr="005A3330" w:rsidRDefault="0031499A" w:rsidP="0031499A">
      <w:pPr>
        <w:jc w:val="both"/>
        <w:rPr>
          <w:rFonts w:asciiTheme="minorHAnsi" w:eastAsia="Arial Unicode MS" w:hAnsiTheme="minorHAnsi" w:cstheme="minorHAnsi"/>
          <w:sz w:val="20"/>
          <w:szCs w:val="20"/>
          <w:lang w:val="es-ES_tradnl"/>
        </w:rPr>
      </w:pP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MEDICIÓN Y FORMA DE PAGO.</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 xml:space="preserve">La provisión, relleno y compactado con relleno común será medido en metros cúbicos, de acuerdo a la geometría del espacio rellenado y compactado en su posición final. Secciones que serán aprobadas por el SUPERVISOR. Este Ítem será pagado de acuerdo al precio unitario de la propuesta aceptada. </w:t>
      </w:r>
      <w:r w:rsidRPr="005A3330">
        <w:rPr>
          <w:rFonts w:asciiTheme="minorHAnsi" w:hAnsiTheme="minorHAnsi" w:cstheme="minorHAnsi"/>
          <w:sz w:val="20"/>
          <w:szCs w:val="20"/>
          <w:lang w:val="es-MX"/>
        </w:rPr>
        <w:t>En la medición se deberá descontar los volúmenes de tierra que desplazan, estructuras y otros que la SUPERVISIÓN considere necesario.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sz w:val="20"/>
          <w:szCs w:val="20"/>
        </w:rPr>
      </w:pPr>
    </w:p>
    <w:sectPr w:rsidR="0031499A" w:rsidRPr="005A333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1B7" w:rsidRDefault="001651B7" w:rsidP="0031499A">
      <w:r>
        <w:separator/>
      </w:r>
    </w:p>
  </w:endnote>
  <w:endnote w:type="continuationSeparator" w:id="0">
    <w:p w:rsidR="001651B7" w:rsidRDefault="001651B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3156"/>
      <w:gridCol w:w="2834"/>
    </w:tblGrid>
    <w:tr w:rsidR="0034486F" w:rsidRPr="0034486F" w:rsidTr="00E54460">
      <w:trPr>
        <w:trHeight w:val="8"/>
        <w:jc w:val="center"/>
      </w:trPr>
      <w:tc>
        <w:tcPr>
          <w:tcW w:w="1565" w:type="pct"/>
        </w:tcPr>
        <w:p w:rsidR="0034486F" w:rsidRPr="0034486F" w:rsidRDefault="0034486F" w:rsidP="0034486F">
          <w:pPr>
            <w:tabs>
              <w:tab w:val="center" w:pos="4419"/>
              <w:tab w:val="right" w:pos="8838"/>
            </w:tabs>
            <w:jc w:val="center"/>
            <w:rPr>
              <w:rFonts w:ascii="Verdana" w:eastAsia="Arial Unicode MS" w:hAnsi="Verdana" w:cs="Vijaya"/>
              <w:b/>
              <w:sz w:val="14"/>
              <w:szCs w:val="16"/>
              <w:lang w:val="es-MX"/>
            </w:rPr>
          </w:pPr>
          <w:r w:rsidRPr="0034486F">
            <w:rPr>
              <w:rFonts w:ascii="Verdana" w:eastAsia="Arial Unicode MS" w:hAnsi="Verdana" w:cs="Vijaya"/>
              <w:b/>
              <w:sz w:val="14"/>
              <w:szCs w:val="16"/>
              <w:lang w:val="es-MX"/>
            </w:rPr>
            <w:t>ELABORADO POR:</w:t>
          </w:r>
        </w:p>
      </w:tc>
      <w:tc>
        <w:tcPr>
          <w:tcW w:w="1810" w:type="pct"/>
        </w:tcPr>
        <w:p w:rsidR="0034486F" w:rsidRPr="0034486F" w:rsidRDefault="0034486F" w:rsidP="0034486F">
          <w:pPr>
            <w:tabs>
              <w:tab w:val="center" w:pos="4419"/>
              <w:tab w:val="right" w:pos="8838"/>
            </w:tabs>
            <w:jc w:val="center"/>
            <w:rPr>
              <w:rFonts w:ascii="Verdana" w:eastAsia="Arial Unicode MS" w:hAnsi="Verdana" w:cs="Vijaya"/>
              <w:sz w:val="14"/>
              <w:szCs w:val="16"/>
              <w:lang w:val="es-MX"/>
            </w:rPr>
          </w:pPr>
          <w:r w:rsidRPr="0034486F">
            <w:rPr>
              <w:rFonts w:ascii="Verdana" w:eastAsia="Arial Unicode MS" w:hAnsi="Verdana" w:cs="Vijaya"/>
              <w:b/>
              <w:sz w:val="14"/>
              <w:szCs w:val="16"/>
              <w:lang w:val="es-MX"/>
            </w:rPr>
            <w:t xml:space="preserve">REVISADO  POR: </w:t>
          </w:r>
        </w:p>
      </w:tc>
      <w:tc>
        <w:tcPr>
          <w:tcW w:w="1625" w:type="pct"/>
        </w:tcPr>
        <w:p w:rsidR="0034486F" w:rsidRPr="0034486F" w:rsidRDefault="0034486F" w:rsidP="0034486F">
          <w:pPr>
            <w:tabs>
              <w:tab w:val="center" w:pos="4419"/>
              <w:tab w:val="right" w:pos="8838"/>
            </w:tabs>
            <w:jc w:val="center"/>
            <w:rPr>
              <w:rFonts w:ascii="Verdana" w:eastAsia="Arial Unicode MS" w:hAnsi="Verdana" w:cs="Vijaya"/>
              <w:b/>
              <w:sz w:val="14"/>
              <w:szCs w:val="16"/>
              <w:lang w:val="es-MX"/>
            </w:rPr>
          </w:pPr>
          <w:r w:rsidRPr="0034486F">
            <w:rPr>
              <w:rFonts w:ascii="Verdana" w:eastAsia="Arial Unicode MS" w:hAnsi="Verdana" w:cs="Vijaya"/>
              <w:b/>
              <w:sz w:val="14"/>
              <w:szCs w:val="16"/>
              <w:lang w:val="es-MX"/>
            </w:rPr>
            <w:t>APROBADO POR:</w:t>
          </w:r>
        </w:p>
      </w:tc>
    </w:tr>
    <w:tr w:rsidR="0034486F" w:rsidRPr="0034486F" w:rsidTr="00E54460">
      <w:trPr>
        <w:trHeight w:val="86"/>
        <w:jc w:val="center"/>
      </w:trPr>
      <w:tc>
        <w:tcPr>
          <w:tcW w:w="1565" w:type="pct"/>
        </w:tcPr>
        <w:p w:rsidR="0034486F" w:rsidRPr="0034486F" w:rsidRDefault="0034486F" w:rsidP="0034486F">
          <w:pPr>
            <w:spacing w:after="160" w:line="259" w:lineRule="auto"/>
            <w:rPr>
              <w:rFonts w:ascii="Verdana" w:eastAsia="Arial Unicode MS" w:hAnsi="Verdana" w:cs="Vijaya"/>
              <w:sz w:val="14"/>
              <w:lang w:val="es-MX"/>
            </w:rPr>
          </w:pPr>
        </w:p>
        <w:p w:rsidR="0034486F" w:rsidRPr="0034486F" w:rsidRDefault="0034486F" w:rsidP="0034486F">
          <w:pPr>
            <w:jc w:val="right"/>
            <w:rPr>
              <w:rFonts w:ascii="Verdana" w:eastAsia="Arial Unicode MS" w:hAnsi="Verdana" w:cs="Vijaya"/>
              <w:sz w:val="14"/>
              <w:lang w:val="es-MX"/>
            </w:rPr>
          </w:pPr>
        </w:p>
      </w:tc>
      <w:tc>
        <w:tcPr>
          <w:tcW w:w="1810" w:type="pct"/>
        </w:tcPr>
        <w:p w:rsidR="0034486F" w:rsidRPr="0034486F" w:rsidRDefault="0034486F" w:rsidP="0034486F">
          <w:pPr>
            <w:rPr>
              <w:rFonts w:ascii="Verdana" w:eastAsia="Arial Unicode MS" w:hAnsi="Verdana" w:cs="Vijaya"/>
              <w:b/>
              <w:sz w:val="14"/>
              <w:szCs w:val="16"/>
              <w:lang w:val="es-MX"/>
            </w:rPr>
          </w:pPr>
        </w:p>
      </w:tc>
      <w:tc>
        <w:tcPr>
          <w:tcW w:w="1625" w:type="pct"/>
        </w:tcPr>
        <w:p w:rsidR="0034486F" w:rsidRPr="0034486F" w:rsidRDefault="0034486F" w:rsidP="0034486F">
          <w:pPr>
            <w:rPr>
              <w:rFonts w:ascii="Verdana" w:eastAsia="Arial Unicode MS" w:hAnsi="Verdana" w:cs="Vijaya"/>
              <w:b/>
              <w:sz w:val="14"/>
              <w:szCs w:val="16"/>
              <w:lang w:val="es-MX"/>
            </w:rPr>
          </w:pPr>
        </w:p>
      </w:tc>
    </w:tr>
    <w:tr w:rsidR="0034486F" w:rsidRPr="0034486F" w:rsidTr="00E54460">
      <w:trPr>
        <w:trHeight w:val="86"/>
        <w:jc w:val="center"/>
      </w:trPr>
      <w:tc>
        <w:tcPr>
          <w:tcW w:w="1565" w:type="pct"/>
        </w:tcPr>
        <w:p w:rsidR="0034486F" w:rsidRPr="0034486F" w:rsidRDefault="0034486F" w:rsidP="0034486F">
          <w:pPr>
            <w:jc w:val="center"/>
            <w:rPr>
              <w:rFonts w:ascii="Verdana" w:eastAsia="Arial Unicode MS" w:hAnsi="Verdana" w:cs="Vijaya"/>
              <w:sz w:val="12"/>
              <w:szCs w:val="16"/>
            </w:rPr>
          </w:pPr>
          <w:r w:rsidRPr="0034486F">
            <w:rPr>
              <w:rFonts w:ascii="Verdana" w:eastAsia="Arial Unicode MS" w:hAnsi="Verdana" w:cs="Vijaya"/>
              <w:sz w:val="12"/>
              <w:szCs w:val="16"/>
            </w:rPr>
            <w:t>Ing. Favio Lopez Cuno</w:t>
          </w:r>
        </w:p>
        <w:p w:rsidR="0034486F" w:rsidRPr="0034486F" w:rsidRDefault="0034486F" w:rsidP="0034486F">
          <w:pPr>
            <w:jc w:val="center"/>
            <w:rPr>
              <w:rFonts w:ascii="Verdana" w:eastAsia="Arial Unicode MS" w:hAnsi="Verdana" w:cs="Vijaya"/>
              <w:b/>
              <w:sz w:val="12"/>
              <w:szCs w:val="16"/>
              <w:lang w:val="es-MX"/>
            </w:rPr>
          </w:pPr>
          <w:r w:rsidRPr="0034486F">
            <w:rPr>
              <w:rFonts w:ascii="Verdana" w:eastAsia="Arial Unicode MS" w:hAnsi="Verdana" w:cs="Vijaya"/>
              <w:b/>
              <w:sz w:val="12"/>
              <w:szCs w:val="16"/>
            </w:rPr>
            <w:t>SUPERVISOR DE MANTENIMIENTO SISTEMA PRIMARIO</w:t>
          </w:r>
        </w:p>
      </w:tc>
      <w:tc>
        <w:tcPr>
          <w:tcW w:w="1810" w:type="pct"/>
        </w:tcPr>
        <w:p w:rsidR="0034486F" w:rsidRPr="0034486F" w:rsidRDefault="0034486F" w:rsidP="0034486F">
          <w:pPr>
            <w:jc w:val="center"/>
            <w:rPr>
              <w:rFonts w:ascii="Verdana" w:eastAsia="Arial Unicode MS" w:hAnsi="Verdana" w:cs="Vijaya"/>
              <w:sz w:val="12"/>
              <w:szCs w:val="16"/>
              <w:lang w:val="es-MX"/>
            </w:rPr>
          </w:pPr>
          <w:r w:rsidRPr="0034486F">
            <w:rPr>
              <w:rFonts w:ascii="Verdana" w:eastAsia="Arial Unicode MS" w:hAnsi="Verdana" w:cs="Vijaya"/>
              <w:sz w:val="12"/>
              <w:szCs w:val="16"/>
              <w:lang w:val="es-MX"/>
            </w:rPr>
            <w:t>Ing. Miguel Gonzales Escalera</w:t>
          </w:r>
        </w:p>
        <w:p w:rsidR="0034486F" w:rsidRPr="0034486F" w:rsidRDefault="0034486F" w:rsidP="0034486F">
          <w:pPr>
            <w:jc w:val="center"/>
            <w:rPr>
              <w:rFonts w:ascii="Verdana" w:eastAsia="Arial Unicode MS" w:hAnsi="Verdana" w:cs="Vijaya"/>
              <w:b/>
              <w:sz w:val="12"/>
              <w:szCs w:val="16"/>
              <w:lang w:val="es-MX"/>
            </w:rPr>
          </w:pPr>
          <w:r w:rsidRPr="0034486F">
            <w:rPr>
              <w:rFonts w:ascii="Verdana" w:eastAsia="Arial Unicode MS" w:hAnsi="Verdana" w:cs="Vijaya"/>
              <w:b/>
              <w:sz w:val="12"/>
              <w:szCs w:val="16"/>
              <w:lang w:val="es-MX"/>
            </w:rPr>
            <w:t>RESPONSABLE UNIDAD DISTRITAL OPERACIÓN Y MANTENIMIENTO</w:t>
          </w:r>
        </w:p>
      </w:tc>
      <w:tc>
        <w:tcPr>
          <w:tcW w:w="1625" w:type="pct"/>
        </w:tcPr>
        <w:p w:rsidR="0034486F" w:rsidRPr="0034486F" w:rsidRDefault="0034486F" w:rsidP="0034486F">
          <w:pPr>
            <w:jc w:val="center"/>
            <w:rPr>
              <w:rFonts w:ascii="Verdana" w:eastAsia="Arial Unicode MS" w:hAnsi="Verdana" w:cs="Vijaya"/>
              <w:sz w:val="12"/>
              <w:szCs w:val="16"/>
              <w:lang w:val="es-MX"/>
            </w:rPr>
          </w:pPr>
          <w:r w:rsidRPr="0034486F">
            <w:rPr>
              <w:rFonts w:ascii="Verdana" w:eastAsia="Arial Unicode MS" w:hAnsi="Verdana" w:cs="Vijaya"/>
              <w:sz w:val="12"/>
              <w:szCs w:val="16"/>
              <w:lang w:val="es-MX"/>
            </w:rPr>
            <w:t>Ing. Angel Apolinar Vargas Guzman</w:t>
          </w:r>
        </w:p>
        <w:p w:rsidR="0034486F" w:rsidRPr="0034486F" w:rsidRDefault="0034486F" w:rsidP="0034486F">
          <w:pPr>
            <w:jc w:val="center"/>
            <w:rPr>
              <w:rFonts w:ascii="Verdana" w:eastAsia="Arial Unicode MS" w:hAnsi="Verdana" w:cs="Vijaya"/>
              <w:sz w:val="12"/>
              <w:szCs w:val="16"/>
              <w:lang w:val="es-MX"/>
            </w:rPr>
          </w:pPr>
          <w:r w:rsidRPr="0034486F">
            <w:rPr>
              <w:rFonts w:ascii="Verdana" w:eastAsia="Arial Unicode MS" w:hAnsi="Verdana" w:cs="Vijaya"/>
              <w:b/>
              <w:sz w:val="12"/>
              <w:szCs w:val="16"/>
              <w:lang w:val="es-MX"/>
            </w:rPr>
            <w:t>JEFE UNIDAD DISTRITAL OPERACIÓN Y MANTENIMIENTO</w:t>
          </w:r>
        </w:p>
      </w:tc>
    </w:tr>
  </w:tbl>
  <w:p w:rsidR="00AD3A56" w:rsidRDefault="00AD3A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1B7" w:rsidRDefault="001651B7" w:rsidP="0031499A">
      <w:r>
        <w:separator/>
      </w:r>
    </w:p>
  </w:footnote>
  <w:footnote w:type="continuationSeparator" w:id="0">
    <w:p w:rsidR="001651B7" w:rsidRDefault="001651B7"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D3A56" w:rsidRPr="00FA0D94" w:rsidTr="008561E0">
      <w:tc>
        <w:tcPr>
          <w:tcW w:w="1446" w:type="dxa"/>
          <w:vMerge w:val="restart"/>
          <w:vAlign w:val="center"/>
        </w:tcPr>
        <w:p w:rsidR="00AD3A56" w:rsidRPr="00FA0D94" w:rsidRDefault="00AD3A56"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AD3A56" w:rsidRDefault="00AD3A5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AD3A56" w:rsidRDefault="00AD3A5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AD3A56" w:rsidRPr="0076024C" w:rsidRDefault="00AD3A56" w:rsidP="00AD3A5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AD3A56" w:rsidRPr="0076024C" w:rsidRDefault="00AD3A56"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D3A56" w:rsidRDefault="00AD3A56"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AD3A56" w:rsidRPr="0076024C" w:rsidRDefault="00AD3A56" w:rsidP="0031499A">
          <w:pPr>
            <w:pStyle w:val="Encabezado"/>
            <w:jc w:val="center"/>
            <w:rPr>
              <w:rFonts w:ascii="Calibri" w:eastAsia="Arial Unicode MS" w:hAnsi="Calibri" w:cs="Arial"/>
              <w:b/>
              <w:sz w:val="14"/>
              <w:szCs w:val="14"/>
              <w:lang w:val="es-MX"/>
            </w:rPr>
          </w:pPr>
        </w:p>
      </w:tc>
    </w:tr>
    <w:tr w:rsidR="00AD3A56" w:rsidRPr="00FA0D94" w:rsidTr="008561E0">
      <w:trPr>
        <w:trHeight w:val="478"/>
      </w:trPr>
      <w:tc>
        <w:tcPr>
          <w:tcW w:w="1446" w:type="dxa"/>
          <w:vMerge/>
          <w:vAlign w:val="center"/>
        </w:tcPr>
        <w:p w:rsidR="00AD3A56" w:rsidRPr="00FA0D94" w:rsidRDefault="00AD3A56" w:rsidP="0031499A">
          <w:pPr>
            <w:pStyle w:val="Encabezado"/>
            <w:jc w:val="center"/>
            <w:rPr>
              <w:rFonts w:ascii="Arial Narrow" w:eastAsia="Arial Unicode MS" w:hAnsi="Arial Narrow"/>
              <w:szCs w:val="12"/>
              <w:lang w:val="es-MX"/>
            </w:rPr>
          </w:pPr>
        </w:p>
      </w:tc>
      <w:tc>
        <w:tcPr>
          <w:tcW w:w="6209" w:type="dxa"/>
          <w:vAlign w:val="center"/>
        </w:tcPr>
        <w:p w:rsidR="00AD3A56" w:rsidRPr="0076024C" w:rsidRDefault="00AD3A56"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AD3A56" w:rsidRPr="0076024C" w:rsidRDefault="00AD3A56"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D3A56" w:rsidRPr="0076024C" w:rsidRDefault="00AD3A56"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9557B">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9557B">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rsidR="00AD3A56" w:rsidRDefault="00AD3A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8">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1">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2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0">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1">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0">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1">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5">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46">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7">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3">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4">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4"/>
  </w:num>
  <w:num w:numId="3">
    <w:abstractNumId w:val="17"/>
  </w:num>
  <w:num w:numId="4">
    <w:abstractNumId w:val="52"/>
  </w:num>
  <w:num w:numId="5">
    <w:abstractNumId w:val="42"/>
  </w:num>
  <w:num w:numId="6">
    <w:abstractNumId w:val="11"/>
  </w:num>
  <w:num w:numId="7">
    <w:abstractNumId w:val="33"/>
  </w:num>
  <w:num w:numId="8">
    <w:abstractNumId w:val="27"/>
  </w:num>
  <w:num w:numId="9">
    <w:abstractNumId w:val="56"/>
  </w:num>
  <w:num w:numId="10">
    <w:abstractNumId w:val="10"/>
  </w:num>
  <w:num w:numId="11">
    <w:abstractNumId w:val="3"/>
  </w:num>
  <w:num w:numId="12">
    <w:abstractNumId w:val="1"/>
  </w:num>
  <w:num w:numId="13">
    <w:abstractNumId w:val="19"/>
  </w:num>
  <w:num w:numId="14">
    <w:abstractNumId w:val="48"/>
  </w:num>
  <w:num w:numId="15">
    <w:abstractNumId w:val="2"/>
  </w:num>
  <w:num w:numId="16">
    <w:abstractNumId w:val="38"/>
  </w:num>
  <w:num w:numId="17">
    <w:abstractNumId w:val="36"/>
  </w:num>
  <w:num w:numId="18">
    <w:abstractNumId w:val="6"/>
  </w:num>
  <w:num w:numId="19">
    <w:abstractNumId w:val="26"/>
  </w:num>
  <w:num w:numId="20">
    <w:abstractNumId w:val="12"/>
  </w:num>
  <w:num w:numId="21">
    <w:abstractNumId w:val="16"/>
  </w:num>
  <w:num w:numId="22">
    <w:abstractNumId w:val="40"/>
  </w:num>
  <w:num w:numId="23">
    <w:abstractNumId w:val="4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9"/>
  </w:num>
  <w:num w:numId="26">
    <w:abstractNumId w:val="35"/>
  </w:num>
  <w:num w:numId="27">
    <w:abstractNumId w:val="4"/>
  </w:num>
  <w:num w:numId="28">
    <w:abstractNumId w:val="9"/>
  </w:num>
  <w:num w:numId="29">
    <w:abstractNumId w:val="44"/>
  </w:num>
  <w:num w:numId="30">
    <w:abstractNumId w:val="21"/>
  </w:num>
  <w:num w:numId="31">
    <w:abstractNumId w:val="47"/>
  </w:num>
  <w:num w:numId="32">
    <w:abstractNumId w:val="18"/>
  </w:num>
  <w:num w:numId="33">
    <w:abstractNumId w:val="30"/>
  </w:num>
  <w:num w:numId="34">
    <w:abstractNumId w:val="34"/>
  </w:num>
  <w:num w:numId="35">
    <w:abstractNumId w:val="20"/>
  </w:num>
  <w:num w:numId="36">
    <w:abstractNumId w:val="25"/>
  </w:num>
  <w:num w:numId="37">
    <w:abstractNumId w:val="41"/>
  </w:num>
  <w:num w:numId="38">
    <w:abstractNumId w:val="37"/>
  </w:num>
  <w:num w:numId="39">
    <w:abstractNumId w:val="15"/>
  </w:num>
  <w:num w:numId="40">
    <w:abstractNumId w:val="45"/>
  </w:num>
  <w:num w:numId="41">
    <w:abstractNumId w:val="23"/>
  </w:num>
  <w:num w:numId="42">
    <w:abstractNumId w:val="53"/>
  </w:num>
  <w:num w:numId="43">
    <w:abstractNumId w:val="49"/>
  </w:num>
  <w:num w:numId="44">
    <w:abstractNumId w:val="8"/>
  </w:num>
  <w:num w:numId="45">
    <w:abstractNumId w:val="13"/>
  </w:num>
  <w:num w:numId="46">
    <w:abstractNumId w:val="0"/>
  </w:num>
  <w:num w:numId="47">
    <w:abstractNumId w:val="51"/>
  </w:num>
  <w:num w:numId="48">
    <w:abstractNumId w:val="31"/>
  </w:num>
  <w:num w:numId="49">
    <w:abstractNumId w:val="54"/>
  </w:num>
  <w:num w:numId="50">
    <w:abstractNumId w:val="43"/>
  </w:num>
  <w:num w:numId="51">
    <w:abstractNumId w:val="7"/>
  </w:num>
  <w:num w:numId="52">
    <w:abstractNumId w:val="39"/>
  </w:num>
  <w:num w:numId="53">
    <w:abstractNumId w:val="55"/>
    <w:lvlOverride w:ilvl="0">
      <w:startOverride w:val="1"/>
    </w:lvlOverride>
  </w:num>
  <w:num w:numId="54">
    <w:abstractNumId w:val="28"/>
  </w:num>
  <w:num w:numId="55">
    <w:abstractNumId w:val="46"/>
  </w:num>
  <w:num w:numId="56">
    <w:abstractNumId w:val="24"/>
  </w:num>
  <w:num w:numId="57">
    <w:abstractNumId w:val="50"/>
  </w:num>
  <w:num w:numId="58">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D063F"/>
    <w:rsid w:val="000D7AA3"/>
    <w:rsid w:val="000E2498"/>
    <w:rsid w:val="00112C3D"/>
    <w:rsid w:val="0012754B"/>
    <w:rsid w:val="001651B7"/>
    <w:rsid w:val="00166C6B"/>
    <w:rsid w:val="001B2CB3"/>
    <w:rsid w:val="001F4305"/>
    <w:rsid w:val="00293A60"/>
    <w:rsid w:val="00297C74"/>
    <w:rsid w:val="00312521"/>
    <w:rsid w:val="00313F4C"/>
    <w:rsid w:val="0031499A"/>
    <w:rsid w:val="0034486F"/>
    <w:rsid w:val="003B188F"/>
    <w:rsid w:val="003C0FAE"/>
    <w:rsid w:val="003C19F3"/>
    <w:rsid w:val="003E2F54"/>
    <w:rsid w:val="004010EF"/>
    <w:rsid w:val="00443775"/>
    <w:rsid w:val="0044750B"/>
    <w:rsid w:val="00464372"/>
    <w:rsid w:val="004647FA"/>
    <w:rsid w:val="00480530"/>
    <w:rsid w:val="004A5419"/>
    <w:rsid w:val="00532FB8"/>
    <w:rsid w:val="00592D49"/>
    <w:rsid w:val="005A3330"/>
    <w:rsid w:val="005C5557"/>
    <w:rsid w:val="00694E24"/>
    <w:rsid w:val="0069557B"/>
    <w:rsid w:val="006B6548"/>
    <w:rsid w:val="006C0BF6"/>
    <w:rsid w:val="006D5E32"/>
    <w:rsid w:val="006E1EA0"/>
    <w:rsid w:val="00700CFD"/>
    <w:rsid w:val="00745B31"/>
    <w:rsid w:val="007D7351"/>
    <w:rsid w:val="008536AC"/>
    <w:rsid w:val="00855F8E"/>
    <w:rsid w:val="008561E0"/>
    <w:rsid w:val="00873316"/>
    <w:rsid w:val="008B5259"/>
    <w:rsid w:val="00910E64"/>
    <w:rsid w:val="00936C8D"/>
    <w:rsid w:val="009C1A72"/>
    <w:rsid w:val="009D7352"/>
    <w:rsid w:val="00A13222"/>
    <w:rsid w:val="00AC7058"/>
    <w:rsid w:val="00AD2C9F"/>
    <w:rsid w:val="00AD3A56"/>
    <w:rsid w:val="00AD3AB9"/>
    <w:rsid w:val="00B46B26"/>
    <w:rsid w:val="00B75D38"/>
    <w:rsid w:val="00BA4C43"/>
    <w:rsid w:val="00BA72A9"/>
    <w:rsid w:val="00BC301A"/>
    <w:rsid w:val="00CB33DD"/>
    <w:rsid w:val="00D00610"/>
    <w:rsid w:val="00D03F93"/>
    <w:rsid w:val="00D12CA6"/>
    <w:rsid w:val="00D27267"/>
    <w:rsid w:val="00D45FE8"/>
    <w:rsid w:val="00D547BB"/>
    <w:rsid w:val="00DA068F"/>
    <w:rsid w:val="00DE12A8"/>
    <w:rsid w:val="00DF6FD3"/>
    <w:rsid w:val="00E36F3B"/>
    <w:rsid w:val="00E42642"/>
    <w:rsid w:val="00E43591"/>
    <w:rsid w:val="00E55AE3"/>
    <w:rsid w:val="00F22C9F"/>
    <w:rsid w:val="00F36097"/>
    <w:rsid w:val="00FA36C6"/>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4462</Words>
  <Characters>24545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Favio Lopez Cuno</cp:lastModifiedBy>
  <cp:revision>3</cp:revision>
  <dcterms:created xsi:type="dcterms:W3CDTF">2019-02-06T22:03:00Z</dcterms:created>
  <dcterms:modified xsi:type="dcterms:W3CDTF">2019-02-15T14:06:00Z</dcterms:modified>
</cp:coreProperties>
</file>