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lastRenderedPageBreak/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981A07" w:rsidRPr="00685160" w:rsidRDefault="00981A0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lastRenderedPageBreak/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275234" w:rsidRPr="00685160" w:rsidRDefault="0027523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 xml:space="preserve">odos los elementos de protección personal deberán cumplir </w:t>
      </w:r>
      <w:r w:rsidRPr="00685160">
        <w:rPr>
          <w:rFonts w:ascii="Arial" w:eastAsia="Times New Roman" w:hAnsi="Arial" w:cs="Arial"/>
          <w:lang w:val="es-ES" w:eastAsia="es-ES"/>
        </w:rPr>
        <w:lastRenderedPageBreak/>
        <w:t>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981A07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Ítem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981A07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981A07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981A07">
        <w:trPr>
          <w:trHeight w:val="340"/>
        </w:trPr>
        <w:tc>
          <w:tcPr>
            <w:tcW w:w="5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981A07">
        <w:trPr>
          <w:trHeight w:val="570"/>
        </w:trPr>
        <w:tc>
          <w:tcPr>
            <w:tcW w:w="768" w:type="dxa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lastRenderedPageBreak/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981A07">
        <w:trPr>
          <w:trHeight w:val="397"/>
        </w:trPr>
        <w:tc>
          <w:tcPr>
            <w:tcW w:w="76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981A07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981A07">
        <w:trPr>
          <w:trHeight w:val="1400"/>
        </w:trPr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C5582D" w:rsidRDefault="00C5582D" w:rsidP="00C5582D">
      <w:pPr>
        <w:pStyle w:val="Ttulo1"/>
        <w:numPr>
          <w:ilvl w:val="0"/>
          <w:numId w:val="0"/>
        </w:numPr>
        <w:tabs>
          <w:tab w:val="left" w:pos="284"/>
        </w:tabs>
      </w:pP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lastRenderedPageBreak/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F71974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10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F71974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8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5582D">
            <w:pPr>
              <w:tabs>
                <w:tab w:val="left" w:pos="993"/>
                <w:tab w:val="left" w:pos="1800"/>
              </w:tabs>
              <w:spacing w:before="120"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685160" w:rsidRPr="00F71974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4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F71974">
      <w:pPr>
        <w:tabs>
          <w:tab w:val="left" w:pos="993"/>
          <w:tab w:val="left" w:pos="180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F71974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after="0" w:line="240" w:lineRule="auto"/>
        <w:ind w:left="2069" w:hanging="992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  <w:r w:rsidRPr="00685160">
        <w:rPr>
          <w:rFonts w:ascii="Arial" w:eastAsia="Times New Roman" w:hAnsi="Arial" w:cs="Arial"/>
          <w:lang w:val="es-ES" w:eastAsia="es-ES"/>
        </w:rPr>
        <w:lastRenderedPageBreak/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F71974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4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lastRenderedPageBreak/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C5582D">
      <w:headerReference w:type="default" r:id="rId8"/>
      <w:pgSz w:w="12240" w:h="15840" w:code="1"/>
      <w:pgMar w:top="1418" w:right="1701" w:bottom="709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1F" w:rsidRDefault="0081181F" w:rsidP="00A1099B">
      <w:pPr>
        <w:spacing w:after="0" w:line="240" w:lineRule="auto"/>
      </w:pPr>
      <w:r>
        <w:separator/>
      </w:r>
    </w:p>
  </w:endnote>
  <w:endnote w:type="continuationSeparator" w:id="0">
    <w:p w:rsidR="0081181F" w:rsidRDefault="0081181F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81F" w:rsidRDefault="0081181F" w:rsidP="00A1099B">
      <w:pPr>
        <w:spacing w:after="0" w:line="240" w:lineRule="auto"/>
      </w:pPr>
      <w:r>
        <w:separator/>
      </w:r>
    </w:p>
  </w:footnote>
  <w:footnote w:type="continuationSeparator" w:id="0">
    <w:p w:rsidR="0081181F" w:rsidRDefault="0081181F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1588"/>
    </w:tblGrid>
    <w:tr w:rsidR="00685160" w:rsidTr="00981A07">
      <w:trPr>
        <w:trHeight w:val="1402"/>
        <w:jc w:val="center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57785</wp:posOffset>
                </wp:positionV>
                <wp:extent cx="1158240" cy="762000"/>
                <wp:effectExtent l="0" t="0" r="3810" b="0"/>
                <wp:wrapNone/>
                <wp:docPr id="7" name="Imagen 7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981A07">
          <w:pPr>
            <w:spacing w:after="0" w:line="240" w:lineRule="auto"/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1588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1181F"/>
    <w:rsid w:val="008257D2"/>
    <w:rsid w:val="0083436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1A07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5582D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197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D805-6651-49A1-AB4A-FA89034F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3407</Words>
  <Characters>18744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Edwin Rolando Flores Casas</cp:lastModifiedBy>
  <cp:revision>4</cp:revision>
  <cp:lastPrinted>2013-11-18T19:01:00Z</cp:lastPrinted>
  <dcterms:created xsi:type="dcterms:W3CDTF">2017-01-18T15:35:00Z</dcterms:created>
  <dcterms:modified xsi:type="dcterms:W3CDTF">2019-04-01T19:17:00Z</dcterms:modified>
</cp:coreProperties>
</file>