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 xml:space="preserve">El “Data Book” debe ser presentado con sus respectivos respaldos magnéticos (CD), realizados en </w:t>
      </w:r>
      <w:proofErr w:type="gramStart"/>
      <w:r w:rsidRPr="00B5715C">
        <w:rPr>
          <w:rFonts w:asciiTheme="minorHAnsi" w:hAnsiTheme="minorHAnsi" w:cs="Vijaya"/>
          <w:bCs/>
          <w:color w:val="000000"/>
          <w:sz w:val="22"/>
          <w:szCs w:val="22"/>
          <w:lang w:eastAsia="es-BO"/>
        </w:rPr>
        <w:t>procesador</w:t>
      </w:r>
      <w:proofErr w:type="gramEnd"/>
      <w:r w:rsidRPr="00B5715C">
        <w:rPr>
          <w:rFonts w:asciiTheme="minorHAnsi" w:hAnsiTheme="minorHAnsi" w:cs="Vijaya"/>
          <w:bCs/>
          <w:color w:val="000000"/>
          <w:sz w:val="22"/>
          <w:szCs w:val="22"/>
          <w:lang w:eastAsia="es-BO"/>
        </w:rPr>
        <w:t xml:space="preserve">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Default="004831C0" w:rsidP="004D6161">
      <w:pPr>
        <w:contextualSpacing/>
        <w:jc w:val="both"/>
        <w:rPr>
          <w:rFonts w:asciiTheme="minorHAnsi" w:hAnsiTheme="minorHAnsi" w:cs="Vijaya"/>
          <w:bCs/>
          <w:color w:val="000000"/>
          <w:sz w:val="22"/>
          <w:szCs w:val="22"/>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TOMO I - DOCUMENTACIÓN ADMINISTRATIVA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Registro Vigente de la empresa contratista en la Agencia Nacional de Hidrocarburos en la categoría de Instaladores Industriales o Redes de Gas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Nota de Adjudicación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y Protocolización de Contrato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Autorización de municipio para realizar los trabajos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Inicial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Final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Especificaciones Técnicas con firmas de elaborado, revisado  y aprobado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Fiscal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Carta de Orden de Proceder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Libro de órdenes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Conformidad del  municipio y otras entidades sobre las obras civiles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Trabajo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Orden de Cambio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Modificatorio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cumplimiento de contrato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correcta inversión de anticipo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responsabilidad civil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Seguros contra accidentes del personal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comisión de recepción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Acta de entrega provisional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Acta de entrega definitiva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Planillas parciales de avance y cierre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Informes de fiscal y supervisor por solicitudes de pago parcial y final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Cartas de notificación de corte a la ANH y usuario industrial afectados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 de interconexión (UDOM)</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Informe/formulario de habilitación de red primaria</w:t>
            </w:r>
          </w:p>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TOMO II - DOCUMENTACIÓN TÉCNICA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PROCEDIMIENTOS DE LA EMPRESA CONTRATISTA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Procedimiento de cada uno de los ítems listados en los volúmenes de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 xml:space="preserve">Original </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PERSONAL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Formulario C de la contratista de todo el personal clave presentado en la propuesta adjunto respaldo de la formación requerida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autorización de Cambio de personal clave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ALMACENES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salida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Registros de inspección de material provisto por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 de inspección de accesorios provistos a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devolución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balance final de tubería</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MATERIALES Y EQUIPOS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Especificaciones técnicas de tubería y accesorios utilizados en la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tubería revestida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accesorios accesos mecánicos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calibración y calidad de equipos y materiales de soldadura no mayor a un año </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Certificado de calibración de equipos y herramientas para inspección visual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materiales para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pintura de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la Grúa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CATÁLOGOS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y Manual de válvulas y otros accesorios provistos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de electrodos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REGISTROS DE OBRA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Reportes Diarios de Obra ( Registro fotográfico, y avance por ítems %, aprobado por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Registros de Calidad</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 Según especificaciones, Procedimientos y solicitud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SALUD SEGURIDAD Y MEDIO AMBIENTE</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De acuerdo a Validaciones Medio Ambientales y Seguridad y Salud Ocupacio</w:t>
            </w:r>
            <w:bookmarkStart w:id="0" w:name="_GoBack"/>
            <w:bookmarkEnd w:id="0"/>
            <w:r w:rsidRPr="008C258D">
              <w:rPr>
                <w:rFonts w:ascii="Calibri" w:hAnsi="Calibri" w:cs="Calibri"/>
                <w:iCs/>
                <w:sz w:val="20"/>
                <w:szCs w:val="20"/>
                <w:lang w:val="es-BO"/>
              </w:rPr>
              <w:t>nal</w:t>
            </w:r>
          </w:p>
        </w:tc>
        <w:tc>
          <w:tcPr>
            <w:tcW w:w="2150" w:type="dxa"/>
            <w:shd w:val="clear" w:color="auto" w:fill="auto"/>
            <w:vAlign w:val="center"/>
          </w:tcPr>
          <w:p w:rsidR="0001256D" w:rsidRPr="008C258D" w:rsidRDefault="0001256D" w:rsidP="00F829B8">
            <w:pPr>
              <w:jc w:val="center"/>
              <w:rPr>
                <w:rFonts w:ascii="Calibri" w:hAnsi="Calibri" w:cs="Calibri"/>
                <w:sz w:val="20"/>
                <w:szCs w:val="20"/>
              </w:rPr>
            </w:pPr>
            <w:r w:rsidRPr="008C258D">
              <w:rPr>
                <w:rFonts w:ascii="Calibri" w:hAnsi="Calibri" w:cs="Calibri"/>
                <w:iCs/>
                <w:sz w:val="20"/>
                <w:szCs w:val="20"/>
                <w:lang w:val="es-BO"/>
              </w:rPr>
              <w:t>Original</w:t>
            </w:r>
          </w:p>
        </w:tc>
      </w:tr>
    </w:tbl>
    <w:p w:rsidR="0001256D" w:rsidRPr="00B5715C" w:rsidRDefault="0001256D" w:rsidP="004D6161">
      <w:pPr>
        <w:contextualSpacing/>
        <w:jc w:val="both"/>
        <w:rPr>
          <w:rFonts w:asciiTheme="minorHAnsi" w:hAnsiTheme="minorHAnsi" w:cs="Vijaya"/>
          <w:bCs/>
          <w:color w:val="000000"/>
          <w:sz w:val="22"/>
          <w:szCs w:val="22"/>
          <w:lang w:eastAsia="es-BO"/>
        </w:rPr>
      </w:pPr>
    </w:p>
    <w:sectPr w:rsidR="0001256D" w:rsidRPr="00B5715C"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4AE" w:rsidRDefault="009404AE" w:rsidP="002D1D82">
      <w:r>
        <w:separator/>
      </w:r>
    </w:p>
  </w:endnote>
  <w:endnote w:type="continuationSeparator" w:id="0">
    <w:p w:rsidR="009404AE" w:rsidRDefault="009404AE"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Pr="009A4B1A" w:rsidRDefault="00B5715C"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60888">
      <w:trPr>
        <w:trHeight w:val="86"/>
        <w:jc w:val="center"/>
      </w:trPr>
      <w:tc>
        <w:tcPr>
          <w:tcW w:w="1565" w:type="pct"/>
          <w:shd w:val="clear" w:color="auto" w:fill="D9D9D9"/>
        </w:tcPr>
        <w:p w:rsidR="00B5715C" w:rsidRDefault="00B5715C" w:rsidP="00B5715C">
          <w:pPr>
            <w:jc w:val="center"/>
            <w:rPr>
              <w:rFonts w:ascii="Verdana" w:eastAsia="Arial Unicode MS" w:hAnsi="Verdana" w:cs="Vijaya"/>
              <w:sz w:val="12"/>
              <w:szCs w:val="16"/>
            </w:rPr>
          </w:pPr>
          <w:r>
            <w:rPr>
              <w:rFonts w:ascii="Verdana" w:eastAsia="Arial Unicode MS" w:hAnsi="Verdana" w:cs="Vijaya"/>
              <w:sz w:val="12"/>
              <w:szCs w:val="16"/>
            </w:rPr>
            <w:t xml:space="preserve">Ing. </w:t>
          </w:r>
          <w:r w:rsidR="00987538">
            <w:rPr>
              <w:rFonts w:ascii="Verdana" w:eastAsia="Arial Unicode MS" w:hAnsi="Verdana" w:cs="Vijaya"/>
              <w:sz w:val="12"/>
              <w:szCs w:val="16"/>
            </w:rPr>
            <w:t>Roger Miguel Ramallo Zenteno</w:t>
          </w:r>
        </w:p>
        <w:p w:rsidR="00B5715C" w:rsidRPr="00556B64"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r w:rsidR="00987538">
            <w:rPr>
              <w:rFonts w:ascii="Verdana" w:eastAsia="Arial Unicode MS" w:hAnsi="Verdana" w:cs="Vijaya"/>
              <w:b/>
              <w:sz w:val="12"/>
              <w:szCs w:val="16"/>
            </w:rPr>
            <w:t xml:space="preserve"> II</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Miguel Gonzales Escalera</w:t>
          </w:r>
        </w:p>
        <w:p w:rsidR="00B5715C" w:rsidRPr="009A4B1A" w:rsidRDefault="00B5715C" w:rsidP="00F76216">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00F76216">
            <w:rPr>
              <w:rFonts w:ascii="Verdana" w:eastAsia="Arial Unicode MS" w:hAnsi="Verdana" w:cs="Vijaya"/>
              <w:b/>
              <w:sz w:val="12"/>
              <w:szCs w:val="16"/>
              <w:lang w:val="es-MX"/>
            </w:rPr>
            <w:t>DE</w:t>
          </w:r>
          <w:r w:rsidRPr="009A4B1A">
            <w:rPr>
              <w:rFonts w:ascii="Verdana" w:eastAsia="Arial Unicode MS" w:hAnsi="Verdana" w:cs="Vijaya"/>
              <w:b/>
              <w:sz w:val="12"/>
              <w:szCs w:val="16"/>
              <w:lang w:val="es-MX"/>
            </w:rPr>
            <w:t xml:space="preserve"> OPERACIÓN Y MANTENIMIENTO</w:t>
          </w:r>
        </w:p>
      </w:tc>
      <w:tc>
        <w:tcPr>
          <w:tcW w:w="1625"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Angel Apolinar Vargas Guzman</w:t>
          </w:r>
        </w:p>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4AE" w:rsidRDefault="009404AE" w:rsidP="002D1D82">
      <w:r>
        <w:separator/>
      </w:r>
    </w:p>
  </w:footnote>
  <w:footnote w:type="continuationSeparator" w:id="0">
    <w:p w:rsidR="009404AE" w:rsidRDefault="009404AE"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941DD">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941DD">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1256D"/>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D7131"/>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1DD"/>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04AE"/>
    <w:rsid w:val="00944352"/>
    <w:rsid w:val="00951A21"/>
    <w:rsid w:val="0097327A"/>
    <w:rsid w:val="00987538"/>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C7C36"/>
    <w:rsid w:val="00BD5458"/>
    <w:rsid w:val="00BF6EC1"/>
    <w:rsid w:val="00C00F36"/>
    <w:rsid w:val="00C05013"/>
    <w:rsid w:val="00C06881"/>
    <w:rsid w:val="00C12FD8"/>
    <w:rsid w:val="00C16D62"/>
    <w:rsid w:val="00C21BEC"/>
    <w:rsid w:val="00C315A1"/>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6216"/>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CBBAF-4D6C-4EB6-9C56-1B92961A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809</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Roger Miguel  Ramallo Zenteno</cp:lastModifiedBy>
  <cp:revision>38</cp:revision>
  <cp:lastPrinted>2019-03-19T15:02:00Z</cp:lastPrinted>
  <dcterms:created xsi:type="dcterms:W3CDTF">2016-05-16T19:02:00Z</dcterms:created>
  <dcterms:modified xsi:type="dcterms:W3CDTF">2019-03-19T15:13:00Z</dcterms:modified>
</cp:coreProperties>
</file>