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2602D6E7" w14:textId="5B55127A" w:rsidR="008870D2" w:rsidRPr="00831DB5" w:rsidRDefault="00230B9B" w:rsidP="00831DB5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221302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2130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221302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221302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0B22FF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019A1ED5" w:rsidR="001B611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</w:p>
        </w:tc>
      </w:tr>
      <w:tr w:rsidR="00352423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5B1CA7F4" w:rsidR="00352423" w:rsidRPr="000B22FF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7D4F4D24" w14:textId="59920881" w:rsidR="00352423" w:rsidRPr="000B22FF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0831FDE3" w:rsidR="001B6116" w:rsidRPr="000B22FF" w:rsidRDefault="00C7085E" w:rsidP="005C38F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COORDENADAS UTM – </w:t>
            </w:r>
            <w:r w:rsidR="005C38F6"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INICIAL</w:t>
            </w:r>
          </w:p>
        </w:tc>
        <w:tc>
          <w:tcPr>
            <w:tcW w:w="2555" w:type="pct"/>
            <w:vAlign w:val="center"/>
          </w:tcPr>
          <w:p w14:paraId="7A9B9FEB" w14:textId="43F32A68" w:rsidR="001B611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800753.74 m E ; 8073196.32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05B38FC6" w:rsidR="001B611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3FD98316" w14:textId="2FC921AF" w:rsidR="001B611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800984.12 m E ; 8073078.08 m S</w:t>
            </w:r>
          </w:p>
        </w:tc>
      </w:tr>
      <w:tr w:rsidR="005C38F6" w:rsidRPr="00FD753F" w14:paraId="7FE67A29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4B849646" w14:textId="77777777" w:rsidR="005C38F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</w:p>
        </w:tc>
        <w:tc>
          <w:tcPr>
            <w:tcW w:w="2555" w:type="pct"/>
            <w:vAlign w:val="center"/>
          </w:tcPr>
          <w:p w14:paraId="3885CBC1" w14:textId="77777777" w:rsidR="005C38F6" w:rsidRPr="000B22FF" w:rsidRDefault="005C38F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</w:p>
        </w:tc>
      </w:tr>
      <w:tr w:rsidR="005C38F6" w:rsidRPr="00FD753F" w14:paraId="2328F85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9034514" w14:textId="75CD0B0E" w:rsidR="005C38F6" w:rsidRPr="000B22FF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D7DEE3A" w14:textId="562E2147" w:rsidR="005C38F6" w:rsidRPr="000B22FF" w:rsidRDefault="005C38F6" w:rsidP="005C38F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Colcapirhua</w:t>
            </w:r>
          </w:p>
        </w:tc>
      </w:tr>
      <w:tr w:rsidR="000B22FF" w:rsidRPr="00FD753F" w14:paraId="5904B32A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2CE69005" w14:textId="3E7E6961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242FCE29" w14:textId="129D8D66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0B22FF" w:rsidRPr="00FD753F" w14:paraId="2E5338C6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7C116E9" w14:textId="42BF911C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COORDENADAS UTM </w:t>
            </w:r>
          </w:p>
        </w:tc>
        <w:tc>
          <w:tcPr>
            <w:tcW w:w="2555" w:type="pct"/>
            <w:vAlign w:val="center"/>
          </w:tcPr>
          <w:p w14:paraId="6598B48C" w14:textId="6A82F52D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794267.15 m E ; 8074157.77 m S</w:t>
            </w:r>
          </w:p>
        </w:tc>
      </w:tr>
      <w:tr w:rsidR="000B22FF" w:rsidRPr="00FD753F" w14:paraId="231B29A1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4EE7F4C" w14:textId="2527ACED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2C967534" w14:textId="38250930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794271.96 m E ; 8074136.32 m S</w:t>
            </w:r>
          </w:p>
        </w:tc>
      </w:tr>
      <w:tr w:rsidR="000B22FF" w:rsidRPr="00FD753F" w14:paraId="77C06181" w14:textId="77777777" w:rsidTr="00DD0083">
        <w:trPr>
          <w:trHeight w:val="189"/>
        </w:trPr>
        <w:tc>
          <w:tcPr>
            <w:tcW w:w="2445" w:type="pct"/>
            <w:vAlign w:val="center"/>
          </w:tcPr>
          <w:p w14:paraId="33549CC7" w14:textId="77777777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</w:p>
        </w:tc>
        <w:tc>
          <w:tcPr>
            <w:tcW w:w="2555" w:type="pct"/>
            <w:vAlign w:val="center"/>
          </w:tcPr>
          <w:p w14:paraId="500F586E" w14:textId="77777777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</w:p>
        </w:tc>
      </w:tr>
      <w:tr w:rsidR="000B22FF" w:rsidRPr="00FD753F" w14:paraId="79245C80" w14:textId="77777777" w:rsidTr="00DD0083">
        <w:trPr>
          <w:trHeight w:val="189"/>
        </w:trPr>
        <w:tc>
          <w:tcPr>
            <w:tcW w:w="2445" w:type="pct"/>
            <w:vAlign w:val="center"/>
          </w:tcPr>
          <w:p w14:paraId="4AA6377B" w14:textId="6A5AFB2F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65AB568D" w14:textId="3F632CF1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</w:p>
        </w:tc>
      </w:tr>
      <w:tr w:rsidR="000B22FF" w:rsidRPr="00FD753F" w14:paraId="09172DCE" w14:textId="77777777" w:rsidTr="00DD0083">
        <w:trPr>
          <w:trHeight w:val="189"/>
        </w:trPr>
        <w:tc>
          <w:tcPr>
            <w:tcW w:w="2445" w:type="pct"/>
            <w:vAlign w:val="center"/>
          </w:tcPr>
          <w:p w14:paraId="2A698122" w14:textId="261E93D0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2C8BC527" w14:textId="2CB48762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0B22FF" w:rsidRPr="00FD753F" w14:paraId="09F4EED7" w14:textId="77777777" w:rsidTr="00DD0083">
        <w:trPr>
          <w:trHeight w:val="189"/>
        </w:trPr>
        <w:tc>
          <w:tcPr>
            <w:tcW w:w="2445" w:type="pct"/>
            <w:vAlign w:val="center"/>
          </w:tcPr>
          <w:p w14:paraId="739922F5" w14:textId="3BD8289F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INICIAL</w:t>
            </w:r>
          </w:p>
        </w:tc>
        <w:tc>
          <w:tcPr>
            <w:tcW w:w="2555" w:type="pct"/>
            <w:vAlign w:val="center"/>
          </w:tcPr>
          <w:p w14:paraId="54DEFF4C" w14:textId="38AABE46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803542.51 m E ; 8069230.00 m S</w:t>
            </w:r>
          </w:p>
        </w:tc>
      </w:tr>
      <w:tr w:rsidR="000B22FF" w:rsidRPr="00FD753F" w14:paraId="43D05AC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418C1E1" w14:textId="522514F9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24D2BE04" w14:textId="50E85A52" w:rsidR="000B22FF" w:rsidRPr="000B22FF" w:rsidRDefault="000B22FF" w:rsidP="000B22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803549.91 m E ; 8069224.10 m S</w:t>
            </w:r>
          </w:p>
        </w:tc>
      </w:tr>
      <w:tr w:rsidR="000B22FF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0B22FF" w:rsidRPr="000B22FF" w:rsidRDefault="000B22FF" w:rsidP="000B22F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0B22F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P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2574565B" w:rsidR="00DB5727" w:rsidRPr="009F20FE" w:rsidRDefault="009F1DF6" w:rsidP="009F1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>MANTENIMIENTO EN RED PRIMARIA</w:t>
            </w:r>
            <w:r w:rsidR="001E794B"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>, COCHABAMBA</w:t>
            </w:r>
            <w:r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 xml:space="preserve"> </w:t>
            </w:r>
          </w:p>
        </w:tc>
        <w:tc>
          <w:tcPr>
            <w:tcW w:w="1724" w:type="pct"/>
            <w:vAlign w:val="center"/>
          </w:tcPr>
          <w:p w14:paraId="3691DCB5" w14:textId="4BCF502F" w:rsidR="00DB5727" w:rsidRPr="00F97B8B" w:rsidRDefault="009F1DF6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30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81930A" w14:textId="0D46E7FE" w:rsidR="00831DB5" w:rsidRDefault="00DB5727" w:rsidP="00C70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</w:t>
      </w:r>
      <w:r w:rsidR="00EA75BD" w:rsidRPr="00EA75B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2</w:t>
      </w:r>
      <w:r w:rsidR="005D5E5B" w:rsidRPr="00EA75B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</w:t>
      </w:r>
      <w:bookmarkStart w:id="1" w:name="_GoBack"/>
      <w:bookmarkEnd w:id="1"/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EC5DB47" w14:textId="77777777" w:rsidR="005C38F6" w:rsidRPr="00C7085E" w:rsidRDefault="005C38F6" w:rsidP="00C7085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bookmarkEnd w:id="0"/>
    <w:p w14:paraId="081D059F" w14:textId="18D5EB8E" w:rsidR="00DB67B2" w:rsidRPr="00BA79F5" w:rsidRDefault="00230B9B" w:rsidP="00BA79F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068F0045" w14:textId="77777777" w:rsidR="00230B9B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2224D4" w14:textId="77777777" w:rsidR="0025473C" w:rsidRPr="009E20B4" w:rsidRDefault="0025473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5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879"/>
        <w:gridCol w:w="992"/>
        <w:gridCol w:w="1134"/>
      </w:tblGrid>
      <w:tr w:rsidR="00B24588" w:rsidRPr="004679FB" w14:paraId="28C965B8" w14:textId="77777777" w:rsidTr="00B24588">
        <w:trPr>
          <w:trHeight w:val="450"/>
        </w:trPr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A3FB32B" w14:textId="4A9BEE79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OBRAS CIVILES</w:t>
            </w:r>
          </w:p>
        </w:tc>
      </w:tr>
      <w:tr w:rsidR="00B24588" w:rsidRPr="004679FB" w14:paraId="5D5DB153" w14:textId="77777777" w:rsidTr="00B24588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C0263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N°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8623FB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1F2987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88F59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</w:tr>
      <w:tr w:rsidR="00B24588" w:rsidRPr="004679FB" w14:paraId="3DEFE5A6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B410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DC4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INSTALACIÓN DE FAENAS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E07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Glb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CFB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B24588" w:rsidRPr="004679FB" w14:paraId="758621B6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EE5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568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MOVILIZACIÓN Y DESMOVILIZACION DE EQUIPO, MATERIAL, HERRAMIENTAS Y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473A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Glb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340B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B24588" w:rsidRPr="004679FB" w14:paraId="02CAE2B3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376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706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ELABORACION DE  PLANOS AS-BUILT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2DA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Glb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CBF7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B24588" w:rsidRPr="004679FB" w14:paraId="0034DEDF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A5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124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ELABORACION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FB2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Glb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EDF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B24588" w:rsidRPr="004679FB" w14:paraId="2C1A20C0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AE50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E75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CORTE, ROTURA Y REMOCIÓN DE ACERA Y/O CUNETA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BAC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893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63,60</w:t>
            </w:r>
          </w:p>
        </w:tc>
      </w:tr>
      <w:tr w:rsidR="00B24588" w:rsidRPr="004679FB" w14:paraId="37E0DFDB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91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40C7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CORTE, ROTURA Y REMOSIÓN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8F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3B72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43,80</w:t>
            </w:r>
          </w:p>
        </w:tc>
      </w:tr>
      <w:tr w:rsidR="00B24588" w:rsidRPr="004679FB" w14:paraId="5512A363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A82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B77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EXCAVACIÓN DE ZANJA TERRENO SEMIDURO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740A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52C2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34,20</w:t>
            </w:r>
          </w:p>
        </w:tc>
      </w:tr>
      <w:tr w:rsidR="00B24588" w:rsidRPr="004679FB" w14:paraId="4812AB3E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52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185B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RELLENO Y COMPACTADO DE ZANJA CON TIERRA CERNIDA  S/PROVISION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395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C59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11,40</w:t>
            </w:r>
          </w:p>
        </w:tc>
      </w:tr>
      <w:tr w:rsidR="00B24588" w:rsidRPr="004679FB" w14:paraId="7134289E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419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B90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RELLENO Y COMPACTADO DE ZANJA CON TIERRA COMÚN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2C8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AF8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22,80</w:t>
            </w:r>
          </w:p>
        </w:tc>
      </w:tr>
      <w:tr w:rsidR="00B24588" w:rsidRPr="004679FB" w14:paraId="269ED1CC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30E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0EC4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REPOSICIÓN Y AFINADO DE ACERAS Y/O CUNETAS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5C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AB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63,60</w:t>
            </w:r>
          </w:p>
        </w:tc>
      </w:tr>
      <w:tr w:rsidR="00B24588" w:rsidRPr="004679FB" w14:paraId="0990C359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37A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D5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REPOSICIÓN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233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65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43,80</w:t>
            </w:r>
          </w:p>
        </w:tc>
      </w:tr>
      <w:tr w:rsidR="00B24588" w:rsidRPr="004679FB" w14:paraId="1EC6C093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63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91B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PROVISION Y COLOCADO DE CINTA DE SEÑALIZACION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8FD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B0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285,00</w:t>
            </w:r>
          </w:p>
        </w:tc>
      </w:tr>
      <w:tr w:rsidR="00B24588" w:rsidRPr="004679FB" w14:paraId="7FE6C6B5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16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47C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LIMPIEZA Y RETIRO DE ESCOMBROS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59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Glb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B70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1,00</w:t>
            </w:r>
          </w:p>
        </w:tc>
      </w:tr>
      <w:tr w:rsidR="00B24588" w:rsidRPr="004679FB" w14:paraId="51C7227E" w14:textId="77777777" w:rsidTr="00F571AE">
        <w:trPr>
          <w:trHeight w:val="420"/>
        </w:trPr>
        <w:tc>
          <w:tcPr>
            <w:tcW w:w="8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C2991B2" w14:textId="6C9A0BAA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OBRAS MECANICAS</w:t>
            </w:r>
          </w:p>
        </w:tc>
      </w:tr>
      <w:tr w:rsidR="00B24588" w:rsidRPr="004679FB" w14:paraId="4ACB409E" w14:textId="77777777" w:rsidTr="00B24588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65E39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N°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D9082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1B6489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ECD2D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</w:tr>
      <w:tr w:rsidR="00B24588" w:rsidRPr="004679FB" w14:paraId="4F73180F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12A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6B4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CARGUIO, TRASPORTE Y DESCARGUIO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3B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73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1,02</w:t>
            </w:r>
          </w:p>
        </w:tc>
      </w:tr>
      <w:tr w:rsidR="00B24588" w:rsidRPr="004679FB" w14:paraId="3DDA6A56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E48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9451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CORTE DE TUBERÍA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CFD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Pto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A64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66CA8346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308B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3364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BISELADO Y LIMPIEZA DE BISEL DE TUBERÍA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569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Pto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7A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24,00</w:t>
            </w:r>
          </w:p>
        </w:tc>
      </w:tr>
      <w:tr w:rsidR="00B24588" w:rsidRPr="004679FB" w14:paraId="5C08787C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3D0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BDF2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DESFILE Y BAJADO DE TUBERIA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CD4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789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240,00</w:t>
            </w:r>
          </w:p>
        </w:tc>
      </w:tr>
      <w:tr w:rsidR="00B24588" w:rsidRPr="004679FB" w14:paraId="5F9655D7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1EDD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DAC1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SOLDADURA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91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F6E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68CD8AB0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F26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E07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END POR RADIOGRAFIA DE JUNTAS SOLDADAS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1A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D8E8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77FFB579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F13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2D46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LIMPIEZA Y REVESTIMIENTO DE JUNTAS C/ MANTA TERMOCONTRAIBLE DN 8"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BA4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476A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44A879A9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66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C3A1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PRUEBA HIDROSTATICA DE TUBERÍA ANC DN 8"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BB8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DAD1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240,00</w:t>
            </w:r>
          </w:p>
        </w:tc>
      </w:tr>
      <w:tr w:rsidR="00B24588" w:rsidRPr="004679FB" w14:paraId="298DB119" w14:textId="77777777" w:rsidTr="00B2458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A7B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5B3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END POR TINTAS PENETRANTES PARA ACCESORIOS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9F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Pto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D1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6,00</w:t>
            </w:r>
          </w:p>
        </w:tc>
      </w:tr>
      <w:tr w:rsidR="00B24588" w:rsidRPr="004679FB" w14:paraId="1C874AB7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DD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9EC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SOLDADURA DE TUBERIA Y ACCESORIOS DE ANC DN 6"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84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81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B24588" w:rsidRPr="004679FB" w14:paraId="7154A8D1" w14:textId="77777777" w:rsidTr="00B2458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097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58BE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END POR RADIOGRAFIA DE JUNTAS SOLDADAS DN 6" SCH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544E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01BD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B24588" w:rsidRPr="004679FB" w14:paraId="45DD5E2E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552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BE45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LIMPIEZA Y REVESTIMIENTO DE JUNTAS C/ MANTA TERMOCONTRAIBLE DN 6"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40D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82C0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B24588" w:rsidRPr="004679FB" w14:paraId="426CFA14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EC57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B972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PRUEBA HIDROSTATICA DE TUBERÍA ANC DN 6"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D3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6F72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5AC01867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FF9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412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SOLDADURA DE TUBERIA Y ACCESORIOS DE ANC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B6F7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87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B24588" w:rsidRPr="004679FB" w14:paraId="6D9D89B2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23C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70F8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END POR RADIOGRAFIA DE JUNTAS SOLDADAS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44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E486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  <w:tr w:rsidR="00B24588" w:rsidRPr="004679FB" w14:paraId="33BC013C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DD2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EA60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PRUEBA HIDROSTATICA DE TUBERÍA ANC DN 4"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3F5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63E0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12,00</w:t>
            </w:r>
          </w:p>
        </w:tc>
      </w:tr>
      <w:tr w:rsidR="00B24588" w:rsidRPr="004679FB" w14:paraId="3790C6DC" w14:textId="77777777" w:rsidTr="00B2458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0B4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8549" w14:textId="77777777" w:rsidR="00B24588" w:rsidRPr="004679FB" w:rsidRDefault="00B24588" w:rsidP="00311AF7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LIMPIEZA Y REVESTIMIENTO DE JUNTAS C/ MANTA TERMOCONTRAIBLE DN 4"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30EF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Junta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44D9" w14:textId="77777777" w:rsidR="00B24588" w:rsidRPr="004679FB" w:rsidRDefault="00B24588" w:rsidP="00311AF7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679FB">
              <w:rPr>
                <w:rFonts w:ascii="Verdana" w:hAnsi="Verdana" w:cs="Calibri"/>
                <w:color w:val="000000"/>
                <w:sz w:val="16"/>
                <w:szCs w:val="16"/>
              </w:rPr>
              <w:t>2,00</w:t>
            </w:r>
          </w:p>
        </w:tc>
      </w:tr>
    </w:tbl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7AC81A60" w:rsidR="00B97EC2" w:rsidRPr="009E20B4" w:rsidRDefault="00FC2893" w:rsidP="0025473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0686846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Camión Grúa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76158491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Camioneta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31879918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Compactadora Manual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2DAA98E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6CC908B" w14:textId="7D2CB2DE" w:rsidR="00831DB5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0D1F63F" w14:textId="1F1546E1" w:rsidR="00831DB5" w:rsidRPr="001B6116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Tecle 2Tn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1E088E2" w14:textId="0E4CFA09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6DF01034" w14:textId="3A20EC02" w:rsidR="00831DB5" w:rsidRPr="001B6116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6E4E163F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72C134B8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0D386330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  <w:r w:rsidR="00831DB5">
              <w:rPr>
                <w:rFonts w:ascii="Verdana" w:eastAsia="Arial Unicode MS" w:hAnsi="Verdana" w:cs="Vijaya"/>
                <w:sz w:val="14"/>
                <w:szCs w:val="14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03BD26D6" w:rsidR="00FC096F" w:rsidRPr="001B6116" w:rsidRDefault="00EA75BD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41515259" w:rsidR="00FC096F" w:rsidRPr="001B6116" w:rsidRDefault="008B2777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2C770447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6CEBF0CE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5C38F6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0FBA0AEA" w:rsidR="005C38F6" w:rsidRPr="001B6116" w:rsidRDefault="005C38F6" w:rsidP="005C38F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7D5B16B6" w:rsidR="005C38F6" w:rsidRPr="001B6116" w:rsidRDefault="005C38F6" w:rsidP="005C38F6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proofErr w:type="spellStart"/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Holliday</w:t>
            </w:r>
            <w:proofErr w:type="spellEnd"/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 xml:space="preserve"> Detector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090BEDAD" w:rsidR="005C38F6" w:rsidRPr="001B6116" w:rsidRDefault="005C38F6" w:rsidP="005C38F6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DB92806" w:rsidR="005C38F6" w:rsidRPr="001B6116" w:rsidRDefault="005C38F6" w:rsidP="005C38F6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0D3A164B" w:rsidR="000B22FF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2BEE23A8" w14:textId="77777777" w:rsidR="00230B9B" w:rsidRPr="000B22FF" w:rsidRDefault="00230B9B" w:rsidP="000B22FF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lastRenderedPageBreak/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284E0E99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Ayudante de Soldador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55C9EAC9" w:rsidR="007B4EE6" w:rsidRPr="00C85E3E" w:rsidRDefault="008B2777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Inspector</w:t>
            </w:r>
            <w:r w:rsidR="007B4EE6"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52BA5A7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Dibujante de Planos As- </w:t>
            </w:r>
            <w:proofErr w:type="spellStart"/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Built</w:t>
            </w:r>
            <w:proofErr w:type="spellEnd"/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37ABB742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53CFC51C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51538BC5" w:rsidR="00230B9B" w:rsidRPr="00D328C5" w:rsidRDefault="005C38F6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GRÁ</w:t>
      </w:r>
      <w:r w:rsidR="00230B9B"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FICOS</w:t>
      </w:r>
      <w:r w:rsidR="00230B9B"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6117D6BC" w:rsidR="00FC096F" w:rsidRDefault="008B2777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831DB5">
      <w:pPr>
        <w:tabs>
          <w:tab w:val="left" w:pos="426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3BBBA" w14:textId="081645B8" w:rsidR="00BF2ABF" w:rsidRPr="00831DB5" w:rsidRDefault="00E06DA1" w:rsidP="00831DB5">
      <w:pPr>
        <w:pStyle w:val="Prrafodelista"/>
        <w:numPr>
          <w:ilvl w:val="1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0DC5929C" w14:textId="77777777" w:rsidR="00E06DA1" w:rsidRPr="008D6BD3" w:rsidRDefault="00BF2ABF" w:rsidP="00831DB5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CA7EE21" w14:textId="597D548C" w:rsidR="00E06DA1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F416488" w14:textId="77777777" w:rsidR="00EA75BD" w:rsidRPr="009E20B4" w:rsidRDefault="00EA75BD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6A95D272" w14:textId="77777777" w:rsidR="008B2777" w:rsidRPr="00E1408B" w:rsidRDefault="008B2777" w:rsidP="008B2777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0D25E96C" w14:textId="77777777" w:rsidR="005C38F6" w:rsidRDefault="005C38F6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02789A72" w14:textId="77777777" w:rsidR="005C38F6" w:rsidRDefault="005C38F6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C9C275" w14:textId="77777777" w:rsidR="005C38F6" w:rsidRPr="009E20B4" w:rsidRDefault="005C38F6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BA7C2A9" w14:textId="38215B3F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Construcción de Gasoductos, Oleoductos, líneas de recolección,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flow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777D383F" w14:textId="52816135" w:rsidR="00831DB5" w:rsidRPr="00831DB5" w:rsidRDefault="00E06DA1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831DB5">
        <w:rPr>
          <w:rFonts w:ascii="Calibri" w:hAnsi="Calibri" w:cs="Calibr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36203906" w14:textId="77777777" w:rsidR="00831DB5" w:rsidRPr="002B0D76" w:rsidRDefault="00831DB5" w:rsidP="002B0D76">
      <w:pPr>
        <w:spacing w:line="220" w:lineRule="atLeast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38E20BA" w14:textId="1176C145" w:rsidR="00AA5746" w:rsidRPr="008C5BB6" w:rsidRDefault="004B30A9" w:rsidP="008C5BB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lastRenderedPageBreak/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3253A9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4235E171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>deberán presentar copia</w:t>
      </w:r>
      <w:r w:rsidR="005C38F6">
        <w:rPr>
          <w:rFonts w:asciiTheme="minorHAnsi" w:hAnsiTheme="minorHAnsi" w:cstheme="minorHAnsi"/>
          <w:sz w:val="22"/>
          <w:szCs w:val="22"/>
        </w:rPr>
        <w:t xml:space="preserve"> simple</w:t>
      </w:r>
      <w:r w:rsidR="00540EA9">
        <w:rPr>
          <w:rFonts w:asciiTheme="minorHAnsi" w:hAnsiTheme="minorHAnsi" w:cstheme="minorHAnsi"/>
          <w:sz w:val="22"/>
          <w:szCs w:val="22"/>
        </w:rPr>
        <w:t xml:space="preserve">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E136FB" w14:textId="3ABAB815" w:rsidR="008C5BB6" w:rsidRPr="00540EA9" w:rsidRDefault="008400F6" w:rsidP="00EA75BD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3BC9A8B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B762DE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65B1E2E" w14:textId="77777777" w:rsidR="00B762DE" w:rsidRPr="000B2265" w:rsidRDefault="00B762DE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B762DE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8100ADD" w14:textId="78EC9252" w:rsidR="00E13CFA" w:rsidRPr="00B762DE" w:rsidRDefault="00CD1D40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795BD6AE" w14:textId="24E06254" w:rsidR="009A77B7" w:rsidRPr="00B762DE" w:rsidRDefault="00473870" w:rsidP="00B762D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Anexo 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B762DE">
      <w:p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B762DE">
      <w:pPr>
        <w:pStyle w:val="Prrafodelista"/>
        <w:numPr>
          <w:ilvl w:val="0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B762DE">
      <w:pPr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47FF1EE5" w14:textId="77777777" w:rsidR="00B762DE" w:rsidRPr="00E1408B" w:rsidRDefault="00B762DE" w:rsidP="00B762DE">
      <w:pPr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Default="00A01DDE" w:rsidP="00B762DE">
      <w:pPr>
        <w:pStyle w:val="Prrafodelista"/>
        <w:numPr>
          <w:ilvl w:val="0"/>
          <w:numId w:val="6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Default="00CF7AF0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206F687" w14:textId="77777777" w:rsidR="008C5BB6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2C6D7D" w14:textId="77777777" w:rsidR="008C5BB6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3712315" w14:textId="77777777" w:rsidR="008C5BB6" w:rsidRPr="00917F42" w:rsidRDefault="008C5BB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B762DE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6E82D8C1" w14:textId="77BCBBC5" w:rsidR="00B762DE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1E7C7AEA" w14:textId="77777777" w:rsidR="00B762DE" w:rsidRPr="00B762DE" w:rsidRDefault="00B762DE" w:rsidP="00B762DE">
      <w:pPr>
        <w:pStyle w:val="Prrafodelista"/>
        <w:ind w:left="786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4B5FF337" w:rsidR="00FA40FC" w:rsidRPr="00B762DE" w:rsidRDefault="00FA40FC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762DE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1E794B">
      <w:headerReference w:type="default" r:id="rId8"/>
      <w:footerReference w:type="default" r:id="rId9"/>
      <w:pgSz w:w="12240" w:h="15840"/>
      <w:pgMar w:top="1194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0293" w14:textId="77777777" w:rsidR="00982202" w:rsidRDefault="00982202" w:rsidP="002D1D82">
      <w:r>
        <w:separator/>
      </w:r>
    </w:p>
  </w:endnote>
  <w:endnote w:type="continuationSeparator" w:id="0">
    <w:p w14:paraId="4036C552" w14:textId="77777777" w:rsidR="00982202" w:rsidRDefault="00982202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897"/>
      <w:gridCol w:w="2896"/>
      <w:gridCol w:w="2898"/>
    </w:tblGrid>
    <w:tr w:rsidR="009F1DF6" w:rsidRPr="000810BB" w14:paraId="55EC7561" w14:textId="77777777" w:rsidTr="000810BB">
      <w:tc>
        <w:tcPr>
          <w:tcW w:w="2942" w:type="dxa"/>
        </w:tcPr>
        <w:p w14:paraId="33A1825C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9F1DF6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9F1DF6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9F1DF6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9F1DF6" w:rsidRPr="000810BB" w:rsidRDefault="009F1DF6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9F1DF6" w:rsidRPr="000810BB" w14:paraId="47FB5D83" w14:textId="77777777" w:rsidTr="006D2CC3">
      <w:trPr>
        <w:trHeight w:val="60"/>
      </w:trPr>
      <w:tc>
        <w:tcPr>
          <w:tcW w:w="2942" w:type="dxa"/>
        </w:tcPr>
        <w:p w14:paraId="757A7795" w14:textId="1428F922" w:rsidR="009F1DF6" w:rsidRPr="00F97B8B" w:rsidRDefault="009F1DF6" w:rsidP="009D05E6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</w:p>
      </w:tc>
      <w:tc>
        <w:tcPr>
          <w:tcW w:w="2943" w:type="dxa"/>
        </w:tcPr>
        <w:p w14:paraId="764A8CB5" w14:textId="11E61AD1" w:rsidR="009F1DF6" w:rsidRPr="000810BB" w:rsidRDefault="009F1DF6" w:rsidP="00E17DAE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504E614" w14:textId="02EA55A9" w:rsidR="009F1DF6" w:rsidRPr="00F97B8B" w:rsidRDefault="009F1DF6" w:rsidP="00F97B8B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</w:p>
      </w:tc>
    </w:tr>
  </w:tbl>
  <w:p w14:paraId="113F590A" w14:textId="59EAC29D" w:rsidR="009F1DF6" w:rsidRDefault="009F1D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2437" w14:textId="77777777" w:rsidR="00982202" w:rsidRDefault="00982202" w:rsidP="002D1D82">
      <w:r>
        <w:separator/>
      </w:r>
    </w:p>
  </w:footnote>
  <w:footnote w:type="continuationSeparator" w:id="0">
    <w:p w14:paraId="5D4AACE5" w14:textId="77777777" w:rsidR="00982202" w:rsidRDefault="00982202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9F1DF6" w14:paraId="7EFCA9E3" w14:textId="77777777" w:rsidTr="008870D2">
      <w:tc>
        <w:tcPr>
          <w:tcW w:w="618" w:type="pct"/>
          <w:vMerge w:val="restart"/>
        </w:tcPr>
        <w:p w14:paraId="73558313" w14:textId="77777777" w:rsidR="009F1DF6" w:rsidRDefault="009F1DF6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3" name="Imagen 3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9F1DF6" w:rsidRPr="009F20FE" w:rsidRDefault="009F1DF6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F20FE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4FAFC70E" w:rsidR="009F1DF6" w:rsidRDefault="001E794B" w:rsidP="001E794B">
          <w:pPr>
            <w:pStyle w:val="Encabezado"/>
            <w:jc w:val="center"/>
          </w:pPr>
          <w:r>
            <w:rPr>
              <w:rFonts w:asciiTheme="minorHAnsi" w:eastAsiaTheme="minorHAnsi" w:hAnsiTheme="minorHAnsi" w:cstheme="minorHAnsi"/>
              <w:b/>
              <w:sz w:val="20"/>
              <w:szCs w:val="20"/>
              <w:lang w:val="es-BO" w:eastAsia="en-US"/>
            </w:rPr>
            <w:t>MANTENIMIENTO EN RED PRIMARIA,COCHABAMBA</w:t>
          </w:r>
        </w:p>
      </w:tc>
      <w:tc>
        <w:tcPr>
          <w:tcW w:w="1122" w:type="pct"/>
          <w:vAlign w:val="center"/>
        </w:tcPr>
        <w:p w14:paraId="164F65AF" w14:textId="77777777" w:rsidR="009F1DF6" w:rsidRDefault="009F1DF6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9F1DF6" w14:paraId="078D7E9E" w14:textId="77777777" w:rsidTr="008870D2">
      <w:tc>
        <w:tcPr>
          <w:tcW w:w="618" w:type="pct"/>
          <w:vMerge/>
        </w:tcPr>
        <w:p w14:paraId="3E0E55F6" w14:textId="77777777" w:rsidR="009F1DF6" w:rsidRDefault="009F1DF6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9F1DF6" w:rsidRDefault="009F1DF6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22B9FB21" w:rsidR="009F1DF6" w:rsidRDefault="00845343" w:rsidP="008B2777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Fecha:24</w:t>
          </w:r>
          <w:r w:rsidR="001E794B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/04</w:t>
          </w:r>
          <w:r w:rsidR="009F1DF6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/2019</w:t>
          </w:r>
        </w:p>
      </w:tc>
    </w:tr>
    <w:tr w:rsidR="009F1DF6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9F1DF6" w:rsidRDefault="009F1DF6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9F1DF6" w:rsidRDefault="009F1DF6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9F1DF6" w:rsidRDefault="009F1DF6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E17DAE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E17DAE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9F1DF6" w:rsidRDefault="009F1DF6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76881"/>
    <w:rsid w:val="00080E57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22FF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53BA0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E794B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4E73"/>
    <w:rsid w:val="00207651"/>
    <w:rsid w:val="00210DDB"/>
    <w:rsid w:val="00211C43"/>
    <w:rsid w:val="0021255B"/>
    <w:rsid w:val="00212D39"/>
    <w:rsid w:val="002154AA"/>
    <w:rsid w:val="00215F49"/>
    <w:rsid w:val="00221302"/>
    <w:rsid w:val="002236C0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73C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0CC9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0D7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53A9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4564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C6AD6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38F6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1DB5"/>
    <w:rsid w:val="008340C2"/>
    <w:rsid w:val="008352E2"/>
    <w:rsid w:val="008400F6"/>
    <w:rsid w:val="00843267"/>
    <w:rsid w:val="00845343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777"/>
    <w:rsid w:val="008B2823"/>
    <w:rsid w:val="008B4F92"/>
    <w:rsid w:val="008C0A02"/>
    <w:rsid w:val="008C3015"/>
    <w:rsid w:val="008C5BB6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202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03DE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1DF6"/>
    <w:rsid w:val="009F20FE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5C01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588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6539B"/>
    <w:rsid w:val="00B719F2"/>
    <w:rsid w:val="00B72083"/>
    <w:rsid w:val="00B724A6"/>
    <w:rsid w:val="00B762DE"/>
    <w:rsid w:val="00B82915"/>
    <w:rsid w:val="00B82CA3"/>
    <w:rsid w:val="00B91650"/>
    <w:rsid w:val="00B92937"/>
    <w:rsid w:val="00B92B40"/>
    <w:rsid w:val="00B949A4"/>
    <w:rsid w:val="00B96B75"/>
    <w:rsid w:val="00B97EC2"/>
    <w:rsid w:val="00BA2BE5"/>
    <w:rsid w:val="00BA333F"/>
    <w:rsid w:val="00BA5522"/>
    <w:rsid w:val="00BA5876"/>
    <w:rsid w:val="00BA79F5"/>
    <w:rsid w:val="00BB1013"/>
    <w:rsid w:val="00BB205E"/>
    <w:rsid w:val="00BB25AE"/>
    <w:rsid w:val="00BB71BC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085E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2356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A41F2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C519B"/>
    <w:rsid w:val="00DD2F58"/>
    <w:rsid w:val="00DD3BD8"/>
    <w:rsid w:val="00DD5491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07F84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17DAE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3980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75BD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15E4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52EB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2D37-8F53-4D9D-9014-50B6CE4F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2657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89</cp:revision>
  <cp:lastPrinted>2019-04-25T19:26:00Z</cp:lastPrinted>
  <dcterms:created xsi:type="dcterms:W3CDTF">2018-03-02T13:14:00Z</dcterms:created>
  <dcterms:modified xsi:type="dcterms:W3CDTF">2019-05-20T16:16:00Z</dcterms:modified>
</cp:coreProperties>
</file>