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Red </w:t>
      </w:r>
      <w:r w:rsidR="00E024EC">
        <w:rPr>
          <w:rFonts w:ascii="Cambria" w:hAnsi="Cambria" w:cs="Verdana"/>
          <w:b/>
          <w:bCs/>
          <w:color w:val="000000"/>
          <w:sz w:val="22"/>
          <w:szCs w:val="22"/>
        </w:rPr>
        <w:t>Secundaria/Estación Distrital de Regulación (EDR)</w:t>
      </w:r>
      <w:r w:rsidR="003D4AC9" w:rsidRPr="002537B3">
        <w:rPr>
          <w:rFonts w:ascii="Cambria" w:hAnsi="Cambria" w:cs="Verdana"/>
          <w:b/>
          <w:bCs/>
          <w:color w:val="000000"/>
          <w:sz w:val="22"/>
          <w:szCs w:val="22"/>
        </w:rPr>
        <w:t>:</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correspondientes para evaluación y aprobación de YPFB. Se aclara como personal </w:t>
      </w:r>
      <w:r w:rsidR="003D4AC9" w:rsidRPr="002537B3">
        <w:rPr>
          <w:rFonts w:ascii="Cambria" w:hAnsi="Cambria" w:cs="Verdana"/>
          <w:bCs/>
          <w:color w:val="000000"/>
          <w:sz w:val="22"/>
          <w:szCs w:val="22"/>
        </w:rPr>
        <w:lastRenderedPageBreak/>
        <w:t>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w:t>
            </w:r>
            <w:r w:rsidR="00E024EC">
              <w:rPr>
                <w:rFonts w:ascii="Cambria" w:hAnsi="Cambria"/>
                <w:sz w:val="20"/>
                <w:szCs w:val="20"/>
              </w:rPr>
              <w:t>ndustrial, Salud Ocupacional y</w:t>
            </w:r>
            <w:r w:rsidRPr="002537B3">
              <w:rPr>
                <w:rFonts w:ascii="Cambria" w:hAnsi="Cambria"/>
                <w:sz w:val="20"/>
                <w:szCs w:val="20"/>
              </w:rPr>
              <w:t xml:space="preserve">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w:t>
      </w:r>
      <w:r w:rsidR="00E024EC">
        <w:rPr>
          <w:rFonts w:ascii="Cambria" w:hAnsi="Cambria" w:cs="Verdana"/>
          <w:bCs/>
          <w:color w:val="000000"/>
          <w:sz w:val="22"/>
          <w:szCs w:val="22"/>
        </w:rPr>
        <w:t>S</w:t>
      </w:r>
      <w:r w:rsidRPr="002537B3">
        <w:rPr>
          <w:rFonts w:ascii="Cambria" w:hAnsi="Cambria" w:cs="Verdana"/>
          <w:bCs/>
          <w:color w:val="000000"/>
          <w:sz w:val="22"/>
          <w:szCs w:val="22"/>
        </w:rPr>
        <w:t>MS</w:t>
      </w:r>
      <w:r w:rsidR="00E024EC">
        <w:rPr>
          <w:rFonts w:ascii="Cambria" w:hAnsi="Cambria" w:cs="Verdana"/>
          <w:bCs/>
          <w:color w:val="000000"/>
          <w:sz w:val="22"/>
          <w:szCs w:val="22"/>
        </w:rPr>
        <w:t>G</w:t>
      </w:r>
      <w:r w:rsidRPr="002537B3">
        <w:rPr>
          <w:rFonts w:ascii="Cambria" w:hAnsi="Cambria" w:cs="Verdana"/>
          <w:bCs/>
          <w:color w:val="000000"/>
          <w:sz w:val="22"/>
          <w:szCs w:val="22"/>
        </w:rPr>
        <w:t xml:space="preserve">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w:t>
      </w:r>
      <w:r w:rsidR="00EC1BEA" w:rsidRPr="002537B3">
        <w:rPr>
          <w:rFonts w:ascii="Cambria" w:hAnsi="Cambria" w:cs="Verdana"/>
          <w:bCs/>
          <w:color w:val="000000"/>
          <w:sz w:val="22"/>
          <w:szCs w:val="22"/>
        </w:rPr>
        <w:t>muerte) (</w:t>
      </w:r>
      <w:r w:rsidRPr="002537B3">
        <w:rPr>
          <w:rFonts w:ascii="Cambria" w:hAnsi="Cambria" w:cs="Verdana"/>
          <w:bCs/>
          <w:color w:val="000000"/>
          <w:sz w:val="22"/>
          <w:szCs w:val="22"/>
        </w:rPr>
        <w:t>cuando aplique)</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lastRenderedPageBreak/>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w:t>
      </w:r>
      <w:r w:rsidR="00E024EC">
        <w:rPr>
          <w:rFonts w:ascii="Cambria" w:hAnsi="Cambria" w:cs="Verdana"/>
          <w:bCs/>
          <w:color w:val="000000"/>
          <w:sz w:val="22"/>
          <w:szCs w:val="22"/>
        </w:rPr>
        <w:t xml:space="preserve">el </w:t>
      </w:r>
      <w:r w:rsidRPr="002537B3">
        <w:rPr>
          <w:rFonts w:ascii="Cambria" w:hAnsi="Cambria" w:cs="Verdana"/>
          <w:bCs/>
          <w:color w:val="000000"/>
          <w:sz w:val="22"/>
          <w:szCs w:val="22"/>
        </w:rPr>
        <w:t>proyecto. (Personal propio, y sub contratistas) siendo necesaria la presentación del Programa de capacitaciones que será ejecutado durante el desarrollo de actividades.</w:t>
      </w: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w:t>
      </w:r>
      <w:r w:rsidR="00EC1BEA" w:rsidRPr="002537B3">
        <w:rPr>
          <w:rFonts w:ascii="Cambria" w:hAnsi="Cambria" w:cs="Verdana"/>
          <w:bCs/>
          <w:color w:val="000000"/>
          <w:sz w:val="22"/>
          <w:szCs w:val="22"/>
        </w:rPr>
        <w:t>YPFB; debiendo</w:t>
      </w:r>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w:t>
      </w:r>
      <w:r w:rsidR="00EC1BEA" w:rsidRPr="002537B3">
        <w:rPr>
          <w:rFonts w:ascii="Cambria" w:hAnsi="Cambria" w:cs="Verdana"/>
          <w:bCs/>
          <w:color w:val="000000"/>
          <w:sz w:val="22"/>
          <w:szCs w:val="22"/>
          <w:lang w:val="es-BO"/>
        </w:rPr>
        <w:t xml:space="preserve">confinados, </w:t>
      </w:r>
      <w:r w:rsidRPr="002537B3">
        <w:rPr>
          <w:rFonts w:ascii="Cambria" w:hAnsi="Cambria" w:cs="Verdana"/>
          <w:bCs/>
          <w:color w:val="000000"/>
          <w:sz w:val="22"/>
          <w:szCs w:val="22"/>
          <w:lang w:val="es-BO"/>
        </w:rPr>
        <w:t xml:space="preserve">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CD5B45" w:rsidRDefault="00CD5B45" w:rsidP="00A518D9">
      <w:pPr>
        <w:ind w:left="792"/>
        <w:jc w:val="both"/>
        <w:rPr>
          <w:rFonts w:ascii="Cambria" w:hAnsi="Cambria" w:cs="Verdana"/>
          <w:bCs/>
          <w:color w:val="000000"/>
          <w:sz w:val="22"/>
          <w:szCs w:val="22"/>
        </w:rPr>
      </w:pPr>
    </w:p>
    <w:p w:rsidR="00CD5B45" w:rsidRDefault="00CD5B45"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7119B" w:rsidRPr="00A518D9" w:rsidRDefault="0047119B" w:rsidP="0047119B">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47119B" w:rsidRDefault="0047119B" w:rsidP="0047119B">
      <w:pPr>
        <w:pStyle w:val="Prrafodelista"/>
        <w:ind w:left="360"/>
        <w:jc w:val="both"/>
        <w:rPr>
          <w:rFonts w:ascii="Cambria" w:hAnsi="Cambria" w:cs="Verdana"/>
          <w:b/>
          <w:bCs/>
          <w:color w:val="000000"/>
          <w:lang w:val="es-BO"/>
        </w:rPr>
      </w:pPr>
    </w:p>
    <w:p w:rsidR="0047119B" w:rsidRDefault="0047119B" w:rsidP="0047119B">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47119B" w:rsidRPr="00A518D9" w:rsidRDefault="0047119B" w:rsidP="0047119B">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47119B" w:rsidRPr="00A518D9"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F51D01" w:rsidRPr="00F51D01" w:rsidRDefault="00F51D01" w:rsidP="00F51D01">
      <w:pPr>
        <w:pStyle w:val="Prrafodelista"/>
        <w:ind w:left="360"/>
        <w:jc w:val="both"/>
        <w:rPr>
          <w:rFonts w:ascii="Cambria" w:hAnsi="Cambria" w:cs="Verdana"/>
          <w:bCs/>
          <w:color w:val="000000"/>
          <w:sz w:val="22"/>
          <w:szCs w:val="22"/>
        </w:rPr>
      </w:pPr>
      <w:r w:rsidRPr="00F51D01">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y materiales.</w:t>
      </w:r>
    </w:p>
    <w:p w:rsidR="0047119B" w:rsidRPr="00705FDF" w:rsidRDefault="00F51D01" w:rsidP="00F51D01">
      <w:pPr>
        <w:pStyle w:val="Prrafodelista"/>
        <w:ind w:left="360"/>
        <w:jc w:val="both"/>
        <w:rPr>
          <w:rFonts w:ascii="Cambria" w:hAnsi="Cambria" w:cs="Verdana"/>
          <w:bCs/>
          <w:color w:val="000000"/>
          <w:sz w:val="22"/>
          <w:szCs w:val="22"/>
        </w:rPr>
      </w:pPr>
      <w:r w:rsidRPr="00F51D01">
        <w:rPr>
          <w:rFonts w:ascii="Cambria" w:hAnsi="Cambria" w:cs="Verdana"/>
          <w:bCs/>
          <w:color w:val="000000"/>
          <w:sz w:val="22"/>
          <w:szCs w:val="22"/>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47119B" w:rsidRPr="00705FDF"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47119B" w:rsidRPr="00705FDF" w:rsidRDefault="00F15967"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w:t>
      </w:r>
      <w:r>
        <w:rPr>
          <w:rFonts w:ascii="Cambria" w:hAnsi="Cambria" w:cs="Verdana"/>
          <w:bCs/>
          <w:color w:val="000000"/>
          <w:sz w:val="22"/>
          <w:szCs w:val="22"/>
        </w:rPr>
        <w:t xml:space="preserve">ontratistas y subcontratistas </w:t>
      </w:r>
      <w:r w:rsidRPr="00705FDF">
        <w:rPr>
          <w:rFonts w:ascii="Cambria" w:hAnsi="Cambria" w:cs="Verdana"/>
          <w:bCs/>
          <w:color w:val="000000"/>
          <w:sz w:val="22"/>
          <w:szCs w:val="22"/>
        </w:rPr>
        <w:t xml:space="preserve">dejando indemne a YPFB por cualquier suceso. En esta póliza YPFB deberá figurar como un tercero. El límite de indemnización por evento y/o </w:t>
      </w:r>
      <w:r>
        <w:rPr>
          <w:rFonts w:ascii="Cambria" w:hAnsi="Cambria" w:cs="Verdana"/>
          <w:bCs/>
          <w:color w:val="000000"/>
          <w:sz w:val="22"/>
          <w:szCs w:val="22"/>
        </w:rPr>
        <w:t>reclamos deberá ser por $</w:t>
      </w:r>
      <w:proofErr w:type="spellStart"/>
      <w:r>
        <w:rPr>
          <w:rFonts w:ascii="Cambria" w:hAnsi="Cambria" w:cs="Verdana"/>
          <w:bCs/>
          <w:color w:val="000000"/>
          <w:sz w:val="22"/>
          <w:szCs w:val="22"/>
        </w:rPr>
        <w:t>us</w:t>
      </w:r>
      <w:proofErr w:type="spellEnd"/>
      <w:r>
        <w:rPr>
          <w:rFonts w:ascii="Cambria" w:hAnsi="Cambria" w:cs="Verdana"/>
          <w:bCs/>
          <w:color w:val="000000"/>
          <w:sz w:val="22"/>
          <w:szCs w:val="22"/>
        </w:rPr>
        <w:t>. 20</w:t>
      </w:r>
      <w:r w:rsidRPr="00705FDF">
        <w:rPr>
          <w:rFonts w:ascii="Cambria" w:hAnsi="Cambria" w:cs="Verdana"/>
          <w:bCs/>
          <w:color w:val="000000"/>
          <w:sz w:val="22"/>
          <w:szCs w:val="22"/>
        </w:rPr>
        <w:t>.000.</w:t>
      </w:r>
    </w:p>
    <w:p w:rsidR="0047119B" w:rsidRPr="00705FDF"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47119B" w:rsidRPr="00705FDF" w:rsidRDefault="00F51D01"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w:t>
      </w:r>
      <w:r>
        <w:rPr>
          <w:rFonts w:ascii="Cambria" w:hAnsi="Cambria" w:cs="Verdana"/>
          <w:bCs/>
          <w:color w:val="000000"/>
          <w:sz w:val="22"/>
          <w:szCs w:val="22"/>
        </w:rPr>
        <w:t xml:space="preserve"> emitido por una Compañía de Seguros</w:t>
      </w:r>
      <w:r w:rsidRPr="00705FDF">
        <w:rPr>
          <w:rFonts w:ascii="Cambria" w:hAnsi="Cambria" w:cs="Verdana"/>
          <w:bCs/>
          <w:color w:val="000000"/>
          <w:sz w:val="22"/>
          <w:szCs w:val="22"/>
        </w:rPr>
        <w:t xml:space="preserve"> (que</w:t>
      </w:r>
      <w:r>
        <w:rPr>
          <w:rFonts w:ascii="Cambria" w:hAnsi="Cambria" w:cs="Verdana"/>
          <w:bCs/>
          <w:color w:val="000000"/>
          <w:sz w:val="22"/>
          <w:szCs w:val="22"/>
        </w:rPr>
        <w:t xml:space="preserve"> cubre gastos médicos, invalidez</w:t>
      </w:r>
      <w:r w:rsidRPr="00705FDF">
        <w:rPr>
          <w:rFonts w:ascii="Cambria" w:hAnsi="Cambria" w:cs="Verdana"/>
          <w:bCs/>
          <w:color w:val="000000"/>
          <w:sz w:val="22"/>
          <w:szCs w:val="22"/>
        </w:rPr>
        <w:t xml:space="preserve"> parcial permanente, invalidez total permanente y muerte), por lesiones corporales sufridas como consecuencia directa e inmediata de los accidentes que ocurran en el desempeño de su trabajo</w:t>
      </w:r>
      <w:r w:rsidR="0047119B" w:rsidRPr="00705FDF">
        <w:rPr>
          <w:rFonts w:ascii="Cambria" w:hAnsi="Cambria" w:cs="Verdana"/>
          <w:bCs/>
          <w:color w:val="000000"/>
          <w:sz w:val="22"/>
          <w:szCs w:val="22"/>
        </w:rPr>
        <w:t>.</w:t>
      </w:r>
    </w:p>
    <w:p w:rsidR="0047119B" w:rsidRPr="00705FDF" w:rsidRDefault="0047119B" w:rsidP="0047119B">
      <w:pPr>
        <w:pStyle w:val="Prrafodelista"/>
        <w:ind w:left="360"/>
        <w:jc w:val="both"/>
        <w:rPr>
          <w:rFonts w:ascii="Cambria" w:hAnsi="Cambria" w:cs="Verdana"/>
          <w:bCs/>
          <w:color w:val="000000"/>
          <w:sz w:val="22"/>
          <w:szCs w:val="22"/>
        </w:rPr>
      </w:pPr>
    </w:p>
    <w:p w:rsidR="0047119B" w:rsidRDefault="0047119B" w:rsidP="0047119B">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47119B" w:rsidRPr="00A518D9" w:rsidRDefault="0047119B" w:rsidP="0047119B">
      <w:pPr>
        <w:pStyle w:val="Prrafodelista"/>
        <w:ind w:left="360"/>
        <w:jc w:val="both"/>
        <w:rPr>
          <w:rFonts w:ascii="Cambria" w:hAnsi="Cambria" w:cs="Verdana"/>
          <w:b/>
          <w:bCs/>
          <w:color w:val="000000"/>
          <w:sz w:val="22"/>
          <w:szCs w:val="22"/>
        </w:rPr>
      </w:pPr>
    </w:p>
    <w:p w:rsidR="0047119B" w:rsidRPr="00705FDF" w:rsidRDefault="0047119B" w:rsidP="0047119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47119B" w:rsidRPr="00705FDF" w:rsidRDefault="0047119B" w:rsidP="0047119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E024EC" w:rsidP="001C5A39">
            <w:pPr>
              <w:rPr>
                <w:b/>
                <w:sz w:val="22"/>
                <w:szCs w:val="22"/>
                <w:lang w:val="es-BO" w:eastAsia="es-BO"/>
              </w:rPr>
            </w:pPr>
            <w:r>
              <w:rPr>
                <w:b/>
                <w:sz w:val="22"/>
                <w:szCs w:val="22"/>
                <w:lang w:val="es-BO" w:eastAsia="es-BO"/>
              </w:rPr>
              <w:lastRenderedPageBreak/>
              <w:t>1</w:t>
            </w:r>
            <w:r w:rsidR="001C5A39"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E024EC" w:rsidP="001C5A39">
            <w:pPr>
              <w:jc w:val="both"/>
              <w:rPr>
                <w:b/>
                <w:sz w:val="22"/>
                <w:szCs w:val="22"/>
                <w:lang w:val="es-BO" w:eastAsia="es-BO"/>
              </w:rPr>
            </w:pPr>
            <w:r>
              <w:rPr>
                <w:b/>
                <w:sz w:val="22"/>
                <w:szCs w:val="22"/>
                <w:lang w:eastAsia="es-BO"/>
              </w:rPr>
              <w:t>1</w:t>
            </w:r>
            <w:r w:rsidR="001C5A39">
              <w:rPr>
                <w:b/>
                <w:sz w:val="22"/>
                <w:szCs w:val="22"/>
                <w:lang w:val="es-BO" w:eastAsia="es-BO"/>
              </w:rPr>
              <w:t xml:space="preserve">.1 OBRAS CIVILES RED SECUNDARIA (INCLUYE SONDEO Y REPLANTEO, INTERCONEXIÓN DE CIRCUITOS ENTRE </w:t>
            </w:r>
            <w:proofErr w:type="spellStart"/>
            <w:r w:rsidR="001C5A39">
              <w:rPr>
                <w:b/>
                <w:sz w:val="22"/>
                <w:szCs w:val="22"/>
                <w:lang w:val="es-BO" w:eastAsia="es-BO"/>
              </w:rPr>
              <w:t>EDRs</w:t>
            </w:r>
            <w:proofErr w:type="spellEnd"/>
            <w:r w:rsidR="001C5A39">
              <w:rPr>
                <w:b/>
                <w:sz w:val="22"/>
                <w:szCs w:val="22"/>
                <w:lang w:val="es-BO" w:eastAsia="es-BO"/>
              </w:rPr>
              <w:t>)</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E024EC" w:rsidP="001C5A39">
            <w:pPr>
              <w:rPr>
                <w:b/>
                <w:lang w:eastAsia="es-BO"/>
              </w:rPr>
            </w:pPr>
            <w:r>
              <w:rPr>
                <w:b/>
                <w:lang w:eastAsia="es-BO"/>
              </w:rPr>
              <w:t>2</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xml:space="preserve">, sin </w:t>
            </w:r>
            <w:proofErr w:type="gramStart"/>
            <w:r>
              <w:rPr>
                <w:rFonts w:ascii="Times" w:hAnsi="Times" w:cs="Times"/>
                <w:b/>
                <w:i/>
                <w:sz w:val="20"/>
                <w:szCs w:val="20"/>
                <w:lang w:eastAsia="es-BO"/>
              </w:rPr>
              <w:t>embargo</w:t>
            </w:r>
            <w:proofErr w:type="gramEnd"/>
            <w:r>
              <w:rPr>
                <w:rFonts w:ascii="Times" w:hAnsi="Times" w:cs="Times"/>
                <w:b/>
                <w:i/>
                <w:sz w:val="20"/>
                <w:szCs w:val="20"/>
                <w:lang w:eastAsia="es-BO"/>
              </w:rPr>
              <w:t xml:space="preserve">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w:t>
            </w:r>
            <w:proofErr w:type="gramStart"/>
            <w:r w:rsidRPr="00042BAF">
              <w:rPr>
                <w:rFonts w:ascii="Times" w:hAnsi="Times" w:cs="Times"/>
                <w:sz w:val="20"/>
                <w:szCs w:val="20"/>
                <w:lang w:eastAsia="es-BO"/>
              </w:rPr>
              <w:t>cumplimiento  por</w:t>
            </w:r>
            <w:proofErr w:type="gramEnd"/>
            <w:r w:rsidRPr="00042BAF">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w:t>
            </w:r>
            <w:r w:rsidR="00220141" w:rsidRPr="00220141">
              <w:rPr>
                <w:rFonts w:ascii="Cambria" w:hAnsi="Cambria"/>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w:t>
            </w:r>
            <w:r w:rsidR="00220141">
              <w:rPr>
                <w:rFonts w:ascii="Cambria" w:hAnsi="Cambria"/>
                <w:sz w:val="22"/>
                <w:szCs w:val="22"/>
              </w:rPr>
              <w:t>ión inmediata con vigencia</w:t>
            </w:r>
            <w:r w:rsidR="00C2546B">
              <w:rPr>
                <w:rFonts w:ascii="Cambria" w:hAnsi="Cambria"/>
                <w:sz w:val="22"/>
                <w:szCs w:val="22"/>
              </w:rPr>
              <w:t xml:space="preserve"> mínima</w:t>
            </w:r>
            <w:r w:rsidR="00220141">
              <w:rPr>
                <w:rFonts w:ascii="Cambria" w:hAnsi="Cambria"/>
                <w:sz w:val="22"/>
                <w:szCs w:val="22"/>
              </w:rPr>
              <w:t xml:space="preserve"> de 15</w:t>
            </w:r>
            <w:r w:rsidR="00220141" w:rsidRPr="00220141">
              <w:rPr>
                <w:rFonts w:ascii="Cambria" w:hAnsi="Cambria"/>
                <w:sz w:val="22"/>
                <w:szCs w:val="22"/>
              </w:rPr>
              <w:t>0 días calendario computables a partir de la fecha de Presentación</w:t>
            </w:r>
            <w:bookmarkStart w:id="0" w:name="_GoBack"/>
            <w:bookmarkEnd w:id="0"/>
            <w:r w:rsidR="00220141" w:rsidRPr="00220141">
              <w:rPr>
                <w:rFonts w:ascii="Cambria" w:hAnsi="Cambria"/>
                <w:sz w:val="22"/>
                <w:szCs w:val="22"/>
              </w:rPr>
              <w:t xml:space="preserve"> de Propuestas, por un monto equivalente de  al menos 1 % del </w:t>
            </w:r>
            <w:r w:rsidR="00C2546B">
              <w:rPr>
                <w:rFonts w:ascii="Cambria" w:hAnsi="Cambria"/>
                <w:sz w:val="22"/>
                <w:szCs w:val="22"/>
              </w:rPr>
              <w:t>monto máximo de la contratación</w:t>
            </w:r>
            <w:r w:rsidRPr="00BC5727">
              <w:rPr>
                <w:rFonts w:ascii="Cambria" w:hAnsi="Cambria"/>
                <w:sz w:val="22"/>
                <w:szCs w:val="22"/>
              </w:rPr>
              <w:t>.</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w:t>
            </w:r>
            <w:r w:rsidR="00C2546B">
              <w:rPr>
                <w:rFonts w:ascii="Cambria" w:hAnsi="Cambria"/>
                <w:sz w:val="22"/>
                <w:szCs w:val="22"/>
              </w:rPr>
              <w:t>con vigencia mínima de 15</w:t>
            </w:r>
            <w:r w:rsidR="00C2546B" w:rsidRPr="00220141">
              <w:rPr>
                <w:rFonts w:ascii="Cambria" w:hAnsi="Cambria"/>
                <w:sz w:val="22"/>
                <w:szCs w:val="22"/>
              </w:rPr>
              <w:t xml:space="preserve">0 días calendario computables a partir de la fecha de Presentación de Propuestas, por un monto equivalente de  al menos 1 % del </w:t>
            </w:r>
            <w:r w:rsidR="00C2546B">
              <w:rPr>
                <w:rFonts w:ascii="Cambria" w:hAnsi="Cambria"/>
                <w:sz w:val="22"/>
                <w:szCs w:val="22"/>
              </w:rPr>
              <w:t>monto máximo de la contratación</w:t>
            </w:r>
            <w:r w:rsidR="00220141">
              <w:rPr>
                <w:rFonts w:ascii="Cambria" w:hAnsi="Cambria"/>
                <w:sz w:val="22"/>
                <w:szCs w:val="22"/>
              </w:rPr>
              <w:t>.</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0B435D"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C2546B">
              <w:rPr>
                <w:rFonts w:ascii="Cambria" w:hAnsi="Cambria"/>
                <w:sz w:val="22"/>
                <w:szCs w:val="22"/>
              </w:rPr>
              <w:t>con vigencia mínima de 15</w:t>
            </w:r>
            <w:r w:rsidR="00C2546B" w:rsidRPr="00220141">
              <w:rPr>
                <w:rFonts w:ascii="Cambria" w:hAnsi="Cambria"/>
                <w:sz w:val="22"/>
                <w:szCs w:val="22"/>
              </w:rPr>
              <w:t xml:space="preserve">0 días calendario computables a partir de la fecha de Presentación de Propuestas, por un monto equivalente de  al menos 1 % del </w:t>
            </w:r>
            <w:r w:rsidR="00C2546B">
              <w:rPr>
                <w:rFonts w:ascii="Cambria" w:hAnsi="Cambria"/>
                <w:sz w:val="22"/>
                <w:szCs w:val="22"/>
              </w:rPr>
              <w:t>monto máximo de la contratación</w:t>
            </w:r>
            <w:r w:rsidRPr="00BC5727">
              <w:rPr>
                <w:rFonts w:ascii="Cambria" w:hAnsi="Cambria"/>
                <w:sz w:val="22"/>
                <w:szCs w:val="22"/>
              </w:rPr>
              <w:t>.</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w:t>
            </w:r>
            <w:r w:rsidR="00220141" w:rsidRPr="00220141">
              <w:rPr>
                <w:rFonts w:ascii="Cambria" w:hAnsi="Cambria"/>
                <w:sz w:val="22"/>
                <w:szCs w:val="22"/>
              </w:rPr>
              <w:t>emitida por una Entidad de Intermediación Financiera (</w:t>
            </w:r>
            <w:r w:rsidR="00220141" w:rsidRPr="00220141">
              <w:rPr>
                <w:rFonts w:ascii="Cambria" w:hAnsi="Cambria"/>
                <w:b/>
                <w:sz w:val="22"/>
                <w:szCs w:val="22"/>
              </w:rPr>
              <w:t>Bancaria</w:t>
            </w:r>
            <w:r w:rsidR="00220141" w:rsidRPr="00220141">
              <w:rPr>
                <w:rFonts w:ascii="Cambria" w:hAnsi="Cambria"/>
                <w:sz w:val="22"/>
                <w:szCs w:val="22"/>
              </w:rPr>
              <w:t>)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w:t>
            </w:r>
            <w:r w:rsidR="00C2546B">
              <w:rPr>
                <w:rFonts w:ascii="Cambria" w:hAnsi="Cambria"/>
                <w:sz w:val="22"/>
                <w:szCs w:val="22"/>
              </w:rPr>
              <w:t xml:space="preserve"> mínima</w:t>
            </w:r>
            <w:r w:rsidR="00220141" w:rsidRPr="00220141">
              <w:rPr>
                <w:rFonts w:ascii="Cambria" w:hAnsi="Cambria"/>
                <w:sz w:val="22"/>
                <w:szCs w:val="22"/>
              </w:rPr>
              <w:t xml:space="preserve"> de 60  días calendario adicionales a la vigencia del contr</w:t>
            </w:r>
            <w:r w:rsidR="00C2546B">
              <w:rPr>
                <w:rFonts w:ascii="Cambria" w:hAnsi="Cambria"/>
                <w:sz w:val="22"/>
                <w:szCs w:val="22"/>
              </w:rPr>
              <w:t>ato, por un monto equivalente de al menos</w:t>
            </w:r>
            <w:r w:rsidR="00220141" w:rsidRPr="00220141">
              <w:rPr>
                <w:rFonts w:ascii="Cambria" w:hAnsi="Cambria"/>
                <w:sz w:val="22"/>
                <w:szCs w:val="22"/>
              </w:rPr>
              <w:t xml:space="preserve"> 7% del </w:t>
            </w:r>
            <w:r w:rsidR="00C2546B">
              <w:rPr>
                <w:rFonts w:ascii="Cambria" w:hAnsi="Cambria"/>
                <w:sz w:val="22"/>
                <w:szCs w:val="22"/>
              </w:rPr>
              <w:t>monto máximo de la contratación</w:t>
            </w:r>
            <w:r w:rsidRPr="00BC5727">
              <w:rPr>
                <w:rFonts w:ascii="Cambria" w:hAnsi="Cambria"/>
                <w:sz w:val="22"/>
                <w:szCs w:val="22"/>
              </w:rPr>
              <w:t xml:space="preserve">.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w:t>
            </w:r>
            <w:r w:rsidR="00C2546B" w:rsidRPr="00220141">
              <w:rPr>
                <w:rFonts w:ascii="Cambria" w:hAnsi="Cambria"/>
                <w:sz w:val="22"/>
                <w:szCs w:val="22"/>
              </w:rPr>
              <w:t>con vigencia</w:t>
            </w:r>
            <w:r w:rsidR="00C2546B">
              <w:rPr>
                <w:rFonts w:ascii="Cambria" w:hAnsi="Cambria"/>
                <w:sz w:val="22"/>
                <w:szCs w:val="22"/>
              </w:rPr>
              <w:t xml:space="preserve"> mínima</w:t>
            </w:r>
            <w:r w:rsidR="00C2546B" w:rsidRPr="00220141">
              <w:rPr>
                <w:rFonts w:ascii="Cambria" w:hAnsi="Cambria"/>
                <w:sz w:val="22"/>
                <w:szCs w:val="22"/>
              </w:rPr>
              <w:t xml:space="preserve"> de 60  días calendario adicionales a la vigencia del contr</w:t>
            </w:r>
            <w:r w:rsidR="00C2546B">
              <w:rPr>
                <w:rFonts w:ascii="Cambria" w:hAnsi="Cambria"/>
                <w:sz w:val="22"/>
                <w:szCs w:val="22"/>
              </w:rPr>
              <w:t>ato, por un monto equivalente de al menos</w:t>
            </w:r>
            <w:r w:rsidR="00C2546B" w:rsidRPr="00220141">
              <w:rPr>
                <w:rFonts w:ascii="Cambria" w:hAnsi="Cambria"/>
                <w:sz w:val="22"/>
                <w:szCs w:val="22"/>
              </w:rPr>
              <w:t xml:space="preserve"> 7% del </w:t>
            </w:r>
            <w:r w:rsidR="00C2546B">
              <w:rPr>
                <w:rFonts w:ascii="Cambria" w:hAnsi="Cambria"/>
                <w:sz w:val="22"/>
                <w:szCs w:val="22"/>
              </w:rPr>
              <w:t>monto máximo de la contratación</w:t>
            </w:r>
            <w:r w:rsidRPr="00BC5727">
              <w:rPr>
                <w:rFonts w:ascii="Cambria" w:hAnsi="Cambria"/>
                <w:sz w:val="22"/>
                <w:szCs w:val="22"/>
              </w:rPr>
              <w:t>.</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 xml:space="preserve">requerimiento </w:t>
            </w:r>
            <w:r w:rsidR="00C2546B" w:rsidRPr="00220141">
              <w:rPr>
                <w:rFonts w:ascii="Cambria" w:hAnsi="Cambria"/>
                <w:sz w:val="22"/>
                <w:szCs w:val="22"/>
              </w:rPr>
              <w:t>con vigencia</w:t>
            </w:r>
            <w:r w:rsidR="00C2546B">
              <w:rPr>
                <w:rFonts w:ascii="Cambria" w:hAnsi="Cambria"/>
                <w:sz w:val="22"/>
                <w:szCs w:val="22"/>
              </w:rPr>
              <w:t xml:space="preserve"> mínima</w:t>
            </w:r>
            <w:r w:rsidR="00C2546B" w:rsidRPr="00220141">
              <w:rPr>
                <w:rFonts w:ascii="Cambria" w:hAnsi="Cambria"/>
                <w:sz w:val="22"/>
                <w:szCs w:val="22"/>
              </w:rPr>
              <w:t xml:space="preserve"> de 60  días calendario adicionales a la vigencia del contr</w:t>
            </w:r>
            <w:r w:rsidR="00C2546B">
              <w:rPr>
                <w:rFonts w:ascii="Cambria" w:hAnsi="Cambria"/>
                <w:sz w:val="22"/>
                <w:szCs w:val="22"/>
              </w:rPr>
              <w:t>ato, por un monto equivalente de al menos</w:t>
            </w:r>
            <w:r w:rsidR="00C2546B" w:rsidRPr="00220141">
              <w:rPr>
                <w:rFonts w:ascii="Cambria" w:hAnsi="Cambria"/>
                <w:sz w:val="22"/>
                <w:szCs w:val="22"/>
              </w:rPr>
              <w:t xml:space="preserve"> 7% del </w:t>
            </w:r>
            <w:r w:rsidR="00C2546B">
              <w:rPr>
                <w:rFonts w:ascii="Cambria" w:hAnsi="Cambria"/>
                <w:sz w:val="22"/>
                <w:szCs w:val="22"/>
              </w:rPr>
              <w:t>monto máximo de la contratación</w:t>
            </w:r>
            <w:r w:rsidRPr="00BC5727">
              <w:rPr>
                <w:rFonts w:ascii="Cambria" w:hAnsi="Cambria"/>
                <w:sz w:val="22"/>
                <w:szCs w:val="22"/>
              </w:rPr>
              <w:t>.</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w:t>
      </w:r>
      <w:r w:rsidR="00092262">
        <w:rPr>
          <w:rFonts w:ascii="Cambria" w:hAnsi="Cambria" w:cs="Arial"/>
          <w:b/>
          <w:bCs/>
          <w:sz w:val="20"/>
          <w:szCs w:val="20"/>
        </w:rPr>
        <w:t>E INSTRUMENTOS FINANCIEROS – V.3</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12222" w:rsidRPr="00C12222" w:rsidRDefault="00C12222" w:rsidP="00C12222">
            <w:pPr>
              <w:jc w:val="both"/>
              <w:rPr>
                <w:rFonts w:ascii="Cambria" w:hAnsi="Cambria" w:cstheme="minorHAnsi"/>
                <w:sz w:val="20"/>
                <w:szCs w:val="20"/>
              </w:rPr>
            </w:pPr>
            <w:r w:rsidRPr="00C12222">
              <w:rPr>
                <w:rFonts w:ascii="Cambria" w:hAnsi="Cambria" w:cstheme="minorHAnsi"/>
                <w:sz w:val="20"/>
                <w:szCs w:val="20"/>
              </w:rPr>
              <w:t xml:space="preserve">Se aceptará </w:t>
            </w:r>
            <w:r w:rsidRPr="00C12222">
              <w:rPr>
                <w:rFonts w:ascii="Cambria" w:hAnsi="Cambria" w:cstheme="minorHAnsi"/>
                <w:b/>
                <w:sz w:val="20"/>
                <w:szCs w:val="20"/>
                <w:u w:val="single"/>
              </w:rPr>
              <w:t>únicamente</w:t>
            </w:r>
            <w:r w:rsidRPr="00C12222">
              <w:rPr>
                <w:rFonts w:ascii="Cambria" w:hAnsi="Cambria" w:cstheme="minorHAnsi"/>
                <w:sz w:val="20"/>
                <w:szCs w:val="20"/>
              </w:rPr>
              <w:t xml:space="preserve"> los instrumentos detallados en el anexo o acápite de Garantías Financieras.</w:t>
            </w:r>
          </w:p>
          <w:p w:rsidR="00246314" w:rsidRPr="00246314" w:rsidRDefault="00C12222" w:rsidP="00C12222">
            <w:pPr>
              <w:jc w:val="both"/>
              <w:rPr>
                <w:rStyle w:val="nfasis"/>
                <w:rFonts w:ascii="Cambria" w:hAnsi="Cambria" w:cstheme="minorHAnsi"/>
                <w:sz w:val="20"/>
                <w:szCs w:val="20"/>
              </w:rPr>
            </w:pPr>
            <w:r w:rsidRPr="00C12222">
              <w:rPr>
                <w:rFonts w:ascii="Cambria" w:hAnsi="Cambria" w:cstheme="minorHAnsi"/>
                <w:sz w:val="20"/>
                <w:szCs w:val="20"/>
              </w:rPr>
              <w:t xml:space="preserve">En caso de </w:t>
            </w:r>
            <w:r w:rsidRPr="00C12222">
              <w:rPr>
                <w:rFonts w:ascii="Cambria" w:hAnsi="Cambria" w:cstheme="minorHAnsi"/>
                <w:i/>
                <w:sz w:val="20"/>
                <w:szCs w:val="20"/>
              </w:rPr>
              <w:t>Póliza de caución a Primer requerimiento para Entidades Públicas</w:t>
            </w:r>
            <w:r w:rsidRPr="00C12222">
              <w:rPr>
                <w:rFonts w:ascii="Cambria" w:hAnsi="Cambria" w:cstheme="minorHAnsi"/>
                <w:sz w:val="20"/>
                <w:szCs w:val="20"/>
              </w:rPr>
              <w:t>, se deberá remitir todos los anexos vinculados.</w:t>
            </w:r>
            <w:r w:rsidR="00246314" w:rsidRPr="00246314">
              <w:rPr>
                <w:rFonts w:ascii="Cambria" w:hAnsi="Cambria" w:cstheme="minorHAnsi"/>
                <w:sz w:val="20"/>
                <w:szCs w:val="20"/>
              </w:rPr>
              <w:t>.</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C12222">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w:t>
            </w:r>
            <w:r w:rsidR="00C12222" w:rsidRPr="00C12222">
              <w:rPr>
                <w:rFonts w:ascii="Cambria" w:hAnsi="Cambria" w:cstheme="minorHAnsi"/>
                <w:sz w:val="20"/>
                <w:szCs w:val="20"/>
              </w:rPr>
              <w:t>conforme lo requerido en el anexo o acápite de Garantías Financieras</w:t>
            </w:r>
            <w:r w:rsidRPr="00246314">
              <w:rPr>
                <w:rFonts w:ascii="Cambria" w:hAnsi="Cambria" w:cstheme="minorHAnsi"/>
                <w:sz w:val="20"/>
                <w:szCs w:val="20"/>
              </w:rPr>
              <w:t>.</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12222" w:rsidRPr="00246314" w:rsidRDefault="00246314" w:rsidP="00C12222">
            <w:pPr>
              <w:jc w:val="both"/>
              <w:rPr>
                <w:rFonts w:ascii="Cambria" w:hAnsi="Cambria" w:cstheme="minorHAnsi"/>
                <w:sz w:val="20"/>
                <w:szCs w:val="20"/>
              </w:rPr>
            </w:pPr>
            <w:r w:rsidRPr="00246314">
              <w:rPr>
                <w:rFonts w:ascii="Cambria" w:hAnsi="Cambria" w:cstheme="minorHAnsi"/>
                <w:sz w:val="20"/>
                <w:szCs w:val="20"/>
              </w:rPr>
              <w:t>Debe consignar el nombre</w:t>
            </w:r>
            <w:r w:rsidR="00C12222">
              <w:rPr>
                <w:rFonts w:ascii="Cambria" w:hAnsi="Cambria" w:cstheme="minorHAnsi"/>
                <w:sz w:val="20"/>
                <w:szCs w:val="20"/>
              </w:rPr>
              <w:t xml:space="preserve"> y tipo societario </w:t>
            </w:r>
            <w:r w:rsidR="00C12222">
              <w:rPr>
                <w:rFonts w:ascii="Cambria" w:hAnsi="Cambria" w:cstheme="minorHAnsi"/>
                <w:sz w:val="20"/>
                <w:szCs w:val="20"/>
                <w:u w:val="single"/>
              </w:rPr>
              <w:t>conforme</w:t>
            </w:r>
            <w:r w:rsidR="00C12222">
              <w:rPr>
                <w:rFonts w:ascii="Cambria" w:hAnsi="Cambria" w:cstheme="minorHAnsi"/>
                <w:sz w:val="20"/>
                <w:szCs w:val="20"/>
              </w:rPr>
              <w:t xml:space="preserve"> se encuentre inscrito en el Registro (informático o documental) FUNDEMPRESA – o equivalente en el país de origen-.</w:t>
            </w:r>
            <w:r w:rsidRPr="00246314">
              <w:rPr>
                <w:rFonts w:ascii="Cambria" w:hAnsi="Cambria" w:cstheme="minorHAnsi"/>
                <w:sz w:val="20"/>
                <w:szCs w:val="20"/>
              </w:rPr>
              <w:t xml:space="preserve"> </w:t>
            </w:r>
          </w:p>
          <w:p w:rsidR="00C12222" w:rsidRPr="00C12222" w:rsidRDefault="00C12222" w:rsidP="00C12222">
            <w:pPr>
              <w:jc w:val="both"/>
              <w:rPr>
                <w:rFonts w:ascii="Cambria" w:hAnsi="Cambria" w:cstheme="minorHAnsi"/>
                <w:sz w:val="20"/>
                <w:szCs w:val="20"/>
              </w:rPr>
            </w:pPr>
            <w:r w:rsidRPr="00C12222">
              <w:rPr>
                <w:rFonts w:ascii="Cambria" w:hAnsi="Cambria" w:cstheme="minorHAnsi"/>
                <w:sz w:val="20"/>
                <w:szCs w:val="20"/>
              </w:rPr>
              <w:t xml:space="preserve">Para </w:t>
            </w:r>
            <w:r w:rsidRPr="00C12222">
              <w:rPr>
                <w:rFonts w:ascii="Cambria" w:hAnsi="Cambria" w:cstheme="minorHAnsi"/>
                <w:sz w:val="20"/>
                <w:szCs w:val="20"/>
                <w:u w:val="single"/>
              </w:rPr>
              <w:t>Asociaciones Accidentales</w:t>
            </w:r>
            <w:r w:rsidRPr="00C12222">
              <w:rPr>
                <w:rFonts w:ascii="Cambria" w:hAnsi="Cambria" w:cstheme="minorHAnsi"/>
                <w:sz w:val="20"/>
                <w:szCs w:val="20"/>
              </w:rPr>
              <w:t>, podrá figurar el nombre de la Asociación Accidental o de una de las empresas que conforman la misma, concordante con su respectivo Registro FUNDEMPRESA.</w:t>
            </w:r>
          </w:p>
          <w:p w:rsidR="00246314" w:rsidRPr="00246314" w:rsidRDefault="00C12222" w:rsidP="00C12222">
            <w:pPr>
              <w:jc w:val="both"/>
              <w:rPr>
                <w:rFonts w:ascii="Cambria" w:hAnsi="Cambria" w:cstheme="minorHAnsi"/>
                <w:sz w:val="20"/>
                <w:szCs w:val="20"/>
              </w:rPr>
            </w:pPr>
            <w:r w:rsidRPr="00C12222">
              <w:rPr>
                <w:rFonts w:ascii="Cambria" w:hAnsi="Cambria" w:cstheme="minorHAnsi"/>
                <w:sz w:val="20"/>
                <w:szCs w:val="20"/>
              </w:rPr>
              <w:t xml:space="preserve">Para </w:t>
            </w:r>
            <w:r w:rsidRPr="00C12222">
              <w:rPr>
                <w:rFonts w:ascii="Cambria" w:hAnsi="Cambria" w:cstheme="minorHAnsi"/>
                <w:sz w:val="20"/>
                <w:szCs w:val="20"/>
                <w:u w:val="single"/>
              </w:rPr>
              <w:t>Empresas Unipersonales</w:t>
            </w:r>
            <w:r w:rsidRPr="00C12222">
              <w:rPr>
                <w:rFonts w:ascii="Cambria" w:hAnsi="Cambria" w:cstheme="minorHAnsi"/>
                <w:sz w:val="20"/>
                <w:szCs w:val="20"/>
              </w:rPr>
              <w:t>, alternativamente podrá figurar el nombre del Contribuyente (NIT).</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C12222">
            <w:pPr>
              <w:pStyle w:val="Prrafodelista"/>
              <w:numPr>
                <w:ilvl w:val="0"/>
                <w:numId w:val="20"/>
              </w:numPr>
              <w:spacing w:line="276" w:lineRule="auto"/>
              <w:ind w:left="357" w:hanging="357"/>
              <w:jc w:val="both"/>
              <w:rPr>
                <w:rFonts w:ascii="Cambria" w:hAnsi="Cambria" w:cstheme="minorHAnsi"/>
                <w:i/>
                <w:sz w:val="20"/>
                <w:szCs w:val="20"/>
              </w:rPr>
            </w:pPr>
            <w:r w:rsidRPr="00C12222">
              <w:rPr>
                <w:rFonts w:ascii="Cambria" w:hAnsi="Cambria" w:cstheme="minorHAnsi"/>
                <w:sz w:val="20"/>
                <w:szCs w:val="20"/>
              </w:rPr>
              <w:t>YACIMIENTOS PETROLIFEROS FISCALES BOLIVIANOS;</w:t>
            </w:r>
            <w:r w:rsidR="00C12222">
              <w:rPr>
                <w:rFonts w:ascii="Cambria" w:hAnsi="Cambria" w:cstheme="minorHAnsi"/>
                <w:sz w:val="20"/>
                <w:szCs w:val="20"/>
              </w:rPr>
              <w:t xml:space="preserve"> </w:t>
            </w:r>
            <w:r w:rsidRPr="00C12222">
              <w:rPr>
                <w:rFonts w:ascii="Cambria" w:hAnsi="Cambria" w:cstheme="minorHAnsi"/>
                <w:i/>
                <w:sz w:val="20"/>
                <w:szCs w:val="20"/>
              </w:rPr>
              <w:t>YPFB;</w:t>
            </w:r>
            <w:r w:rsidR="00C12222">
              <w:rPr>
                <w:rFonts w:ascii="Cambria" w:hAnsi="Cambria" w:cstheme="minorHAnsi"/>
                <w:i/>
                <w:sz w:val="20"/>
                <w:szCs w:val="20"/>
              </w:rPr>
              <w:t xml:space="preserve"> </w:t>
            </w: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r w:rsidR="00C12222">
              <w:rPr>
                <w:rFonts w:ascii="Cambria" w:hAnsi="Cambria" w:cstheme="minorHAnsi"/>
                <w:b/>
                <w:bCs/>
                <w:sz w:val="20"/>
                <w:szCs w:val="20"/>
              </w:rPr>
              <w:t xml:space="preserve">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12222" w:rsidRPr="00C12222" w:rsidRDefault="00C12222" w:rsidP="00C12222">
            <w:pPr>
              <w:jc w:val="both"/>
              <w:rPr>
                <w:rFonts w:ascii="Cambria" w:hAnsi="Cambria" w:cstheme="minorHAnsi"/>
                <w:sz w:val="20"/>
                <w:szCs w:val="20"/>
              </w:rPr>
            </w:pPr>
            <w:r w:rsidRPr="00C12222">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246314" w:rsidRPr="00246314" w:rsidRDefault="00C12222" w:rsidP="00C12222">
            <w:pPr>
              <w:jc w:val="both"/>
              <w:rPr>
                <w:rFonts w:ascii="Cambria" w:hAnsi="Cambria" w:cstheme="minorHAnsi"/>
                <w:sz w:val="20"/>
                <w:szCs w:val="20"/>
              </w:rPr>
            </w:pPr>
            <w:r w:rsidRPr="00C12222">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w:t>
            </w:r>
            <w:r w:rsidR="00C12222" w:rsidRPr="00C12222">
              <w:rPr>
                <w:rFonts w:ascii="Cambria" w:hAnsi="Cambria" w:cstheme="minorHAnsi"/>
                <w:sz w:val="20"/>
                <w:szCs w:val="20"/>
              </w:rPr>
              <w:t>el Anexo o acápite de Garantías Financieras</w:t>
            </w:r>
            <w:r w:rsidRPr="00246314">
              <w:rPr>
                <w:rFonts w:ascii="Cambria" w:hAnsi="Cambria" w:cstheme="minorHAnsi"/>
                <w:sz w:val="20"/>
                <w:szCs w:val="20"/>
              </w:rPr>
              <w:t xml:space="preserve">, </w:t>
            </w:r>
          </w:p>
          <w:p w:rsidR="00246314" w:rsidRPr="00246314" w:rsidRDefault="00246314" w:rsidP="00C12222">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w:t>
            </w:r>
            <w:r w:rsidR="00C12222" w:rsidRPr="00C12222">
              <w:rPr>
                <w:rFonts w:ascii="Cambria" w:hAnsi="Cambria" w:cstheme="minorHAnsi"/>
                <w:sz w:val="20"/>
                <w:szCs w:val="20"/>
              </w:rPr>
              <w:t>mínimamente 150 días computables a partir de la “Fecha de presentación de propuestas”, establecida en el Cronograma de Plazos del DBC</w:t>
            </w:r>
            <w:r w:rsidRPr="00246314">
              <w:rPr>
                <w:rFonts w:ascii="Cambria" w:hAnsi="Cambria" w:cstheme="minorHAnsi"/>
                <w:sz w:val="20"/>
                <w:szCs w:val="20"/>
              </w:rPr>
              <w:t xml:space="preserve">. </w:t>
            </w:r>
          </w:p>
          <w:p w:rsidR="00C12222" w:rsidRPr="00C12222" w:rsidRDefault="00246314" w:rsidP="00C12222">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00C12222" w:rsidRPr="00C12222">
              <w:rPr>
                <w:rFonts w:ascii="Cambria" w:hAnsi="Cambria" w:cstheme="minorHAnsi"/>
                <w:sz w:val="20"/>
                <w:szCs w:val="20"/>
              </w:rPr>
              <w:t xml:space="preserve">según lo requerido, computables a partir de la </w:t>
            </w:r>
            <w:r w:rsidR="00C12222" w:rsidRPr="00C12222">
              <w:rPr>
                <w:rFonts w:ascii="Cambria" w:hAnsi="Cambria" w:cstheme="minorHAnsi"/>
                <w:sz w:val="20"/>
                <w:szCs w:val="20"/>
                <w:u w:val="single"/>
              </w:rPr>
              <w:t xml:space="preserve">fecha </w:t>
            </w:r>
            <w:r w:rsidR="00C12222" w:rsidRPr="00C12222">
              <w:rPr>
                <w:rFonts w:ascii="Cambria" w:hAnsi="Cambria" w:cstheme="minorHAnsi"/>
                <w:sz w:val="20"/>
                <w:szCs w:val="20"/>
                <w:u w:val="single"/>
              </w:rPr>
              <w:lastRenderedPageBreak/>
              <w:t>de emisión del instrumento financiero</w:t>
            </w:r>
            <w:r w:rsidR="00C12222" w:rsidRPr="00C12222">
              <w:rPr>
                <w:rFonts w:ascii="Cambria" w:hAnsi="Cambria" w:cstheme="minorHAnsi"/>
                <w:sz w:val="20"/>
                <w:szCs w:val="20"/>
              </w:rPr>
              <w:t>, debiendo exceder en sesenta (60) días calendario al plazo de entrega del objeto de la contratación.</w:t>
            </w:r>
          </w:p>
          <w:p w:rsidR="00246314" w:rsidRPr="00246314" w:rsidRDefault="00C12222" w:rsidP="00C12222">
            <w:pPr>
              <w:numPr>
                <w:ilvl w:val="0"/>
                <w:numId w:val="21"/>
              </w:numPr>
              <w:jc w:val="both"/>
              <w:rPr>
                <w:rFonts w:ascii="Cambria" w:hAnsi="Cambria" w:cstheme="minorHAnsi"/>
                <w:sz w:val="20"/>
                <w:szCs w:val="20"/>
              </w:rPr>
            </w:pPr>
            <w:r w:rsidRPr="00C12222">
              <w:rPr>
                <w:rFonts w:ascii="Cambria" w:hAnsi="Cambria" w:cstheme="minorHAnsi"/>
                <w:sz w:val="20"/>
                <w:szCs w:val="20"/>
              </w:rPr>
              <w:t xml:space="preserve">Vigencia de la </w:t>
            </w:r>
            <w:proofErr w:type="spellStart"/>
            <w:r w:rsidRPr="00C12222">
              <w:rPr>
                <w:rFonts w:ascii="Cambria" w:hAnsi="Cambria" w:cstheme="minorHAnsi"/>
                <w:sz w:val="20"/>
                <w:szCs w:val="20"/>
              </w:rPr>
              <w:t>Gtia</w:t>
            </w:r>
            <w:proofErr w:type="spellEnd"/>
            <w:r w:rsidRPr="00C12222">
              <w:rPr>
                <w:rFonts w:ascii="Cambria" w:hAnsi="Cambria" w:cstheme="minorHAnsi"/>
                <w:sz w:val="20"/>
                <w:szCs w:val="20"/>
              </w:rPr>
              <w:t>. = fecha de emisión + Plazo de entrega + 60 días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C12222">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NOTA: EL INCUMPLIMIENTO DE LOS PARAMETROS ESTABLECIDOS PRECEDENTEMENTE</w:t>
      </w:r>
      <w:r w:rsidR="00C12222">
        <w:rPr>
          <w:rFonts w:ascii="Cambria" w:hAnsi="Cambria"/>
          <w:b/>
          <w:sz w:val="22"/>
          <w:szCs w:val="22"/>
        </w:rPr>
        <w:t xml:space="preserve"> POR PARTE DEL PROPONENTE O ADJUDICADO</w:t>
      </w:r>
      <w:r w:rsidRPr="00246314">
        <w:rPr>
          <w:rFonts w:ascii="Cambria" w:hAnsi="Cambria"/>
          <w:b/>
          <w:sz w:val="22"/>
          <w:szCs w:val="22"/>
        </w:rPr>
        <w:t xml:space="preserv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Default="00970E61" w:rsidP="00246314">
      <w:pPr>
        <w:jc w:val="both"/>
        <w:rPr>
          <w:rFonts w:ascii="Cambria" w:hAnsi="Cambria" w:cs="Verdana"/>
          <w:bCs/>
          <w:color w:val="000000"/>
          <w:sz w:val="22"/>
          <w:szCs w:val="22"/>
        </w:rPr>
      </w:pPr>
    </w:p>
    <w:p w:rsidR="004605DE" w:rsidRPr="00246314" w:rsidRDefault="004605DE" w:rsidP="00246314">
      <w:pPr>
        <w:jc w:val="both"/>
        <w:rPr>
          <w:rFonts w:ascii="Cambria" w:hAnsi="Cambria" w:cs="Verdana"/>
          <w:bCs/>
          <w:color w:val="000000"/>
          <w:sz w:val="22"/>
          <w:szCs w:val="22"/>
        </w:rPr>
      </w:pPr>
      <w:r>
        <w:rPr>
          <w:rFonts w:ascii="Cambria" w:hAnsi="Cambria" w:cs="Verdana"/>
          <w:bCs/>
          <w:color w:val="000000"/>
          <w:sz w:val="22"/>
          <w:szCs w:val="22"/>
        </w:rPr>
        <w:t>Sucre, 02 de mayo de 2019</w:t>
      </w:r>
    </w:p>
    <w:sectPr w:rsidR="004605DE"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5CA" w:rsidRDefault="006C65CA" w:rsidP="00FA1896">
      <w:r>
        <w:separator/>
      </w:r>
    </w:p>
  </w:endnote>
  <w:endnote w:type="continuationSeparator" w:id="0">
    <w:p w:rsidR="006C65CA" w:rsidRDefault="006C65CA"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5CA" w:rsidRDefault="006C65CA" w:rsidP="00FA1896">
      <w:r>
        <w:separator/>
      </w:r>
    </w:p>
  </w:footnote>
  <w:footnote w:type="continuationSeparator" w:id="0">
    <w:p w:rsidR="006C65CA" w:rsidRDefault="006C65CA"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2546B">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2546B">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20A55"/>
    <w:rsid w:val="00045648"/>
    <w:rsid w:val="000758FE"/>
    <w:rsid w:val="00092262"/>
    <w:rsid w:val="000B435D"/>
    <w:rsid w:val="000B4874"/>
    <w:rsid w:val="00132ED7"/>
    <w:rsid w:val="00156656"/>
    <w:rsid w:val="001B4D31"/>
    <w:rsid w:val="001C5A39"/>
    <w:rsid w:val="00220141"/>
    <w:rsid w:val="00220A52"/>
    <w:rsid w:val="00244C1F"/>
    <w:rsid w:val="00246314"/>
    <w:rsid w:val="002C200B"/>
    <w:rsid w:val="00300519"/>
    <w:rsid w:val="00384E3C"/>
    <w:rsid w:val="003B6307"/>
    <w:rsid w:val="003D4AC9"/>
    <w:rsid w:val="004164F9"/>
    <w:rsid w:val="00456BB4"/>
    <w:rsid w:val="004605DE"/>
    <w:rsid w:val="0047119B"/>
    <w:rsid w:val="00493101"/>
    <w:rsid w:val="00496C8B"/>
    <w:rsid w:val="00570F9B"/>
    <w:rsid w:val="005E042E"/>
    <w:rsid w:val="00604B01"/>
    <w:rsid w:val="006C65CA"/>
    <w:rsid w:val="00764916"/>
    <w:rsid w:val="007A5043"/>
    <w:rsid w:val="007E2A0B"/>
    <w:rsid w:val="008052E8"/>
    <w:rsid w:val="00863BE1"/>
    <w:rsid w:val="008764E9"/>
    <w:rsid w:val="00895B7A"/>
    <w:rsid w:val="00896D10"/>
    <w:rsid w:val="008A4612"/>
    <w:rsid w:val="008E45A1"/>
    <w:rsid w:val="00933EC5"/>
    <w:rsid w:val="00961EDF"/>
    <w:rsid w:val="00966E9D"/>
    <w:rsid w:val="00970E61"/>
    <w:rsid w:val="00986D2E"/>
    <w:rsid w:val="00A518D9"/>
    <w:rsid w:val="00A65E1D"/>
    <w:rsid w:val="00A81546"/>
    <w:rsid w:val="00AD599A"/>
    <w:rsid w:val="00AE4005"/>
    <w:rsid w:val="00B04531"/>
    <w:rsid w:val="00B34A16"/>
    <w:rsid w:val="00B8079D"/>
    <w:rsid w:val="00B84EC3"/>
    <w:rsid w:val="00B967CD"/>
    <w:rsid w:val="00BB6EAD"/>
    <w:rsid w:val="00BF1968"/>
    <w:rsid w:val="00C12222"/>
    <w:rsid w:val="00C151A2"/>
    <w:rsid w:val="00C2546B"/>
    <w:rsid w:val="00C61066"/>
    <w:rsid w:val="00C65188"/>
    <w:rsid w:val="00C9761B"/>
    <w:rsid w:val="00CD5B45"/>
    <w:rsid w:val="00D9355E"/>
    <w:rsid w:val="00DA4580"/>
    <w:rsid w:val="00DD6087"/>
    <w:rsid w:val="00E024EC"/>
    <w:rsid w:val="00E14924"/>
    <w:rsid w:val="00E57185"/>
    <w:rsid w:val="00EC1BEA"/>
    <w:rsid w:val="00EC49D4"/>
    <w:rsid w:val="00ED70F8"/>
    <w:rsid w:val="00F15967"/>
    <w:rsid w:val="00F51D01"/>
    <w:rsid w:val="00F747E3"/>
    <w:rsid w:val="00FA1896"/>
    <w:rsid w:val="00FA4655"/>
    <w:rsid w:val="00FD61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D9F6"/>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604B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B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19</Pages>
  <Words>5285</Words>
  <Characters>29073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13</cp:revision>
  <cp:lastPrinted>2019-05-29T16:26:00Z</cp:lastPrinted>
  <dcterms:created xsi:type="dcterms:W3CDTF">2018-09-10T21:31:00Z</dcterms:created>
  <dcterms:modified xsi:type="dcterms:W3CDTF">2019-05-29T16:27:00Z</dcterms:modified>
</cp:coreProperties>
</file>