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4736BB" w:rsidRDefault="00624F1E" w:rsidP="00BC050D">
      <w:pPr>
        <w:pStyle w:val="Prrafodelista"/>
        <w:numPr>
          <w:ilvl w:val="0"/>
          <w:numId w:val="6"/>
        </w:numPr>
        <w:spacing w:before="240" w:after="120"/>
        <w:jc w:val="both"/>
        <w:rPr>
          <w:rFonts w:asciiTheme="minorHAnsi" w:hAnsiTheme="minorHAnsi" w:cstheme="minorHAnsi"/>
        </w:rPr>
      </w:pPr>
      <w:r w:rsidRPr="004736BB">
        <w:rPr>
          <w:rFonts w:asciiTheme="minorHAnsi" w:hAnsiTheme="minorHAnsi" w:cstheme="minorHAnsi"/>
        </w:rPr>
        <w:t>Análisis preliminar de peligros y riesgos (asociados a la actividad), tiempo, magnitud del proyecto, número de trabajadores y numero de frentes de trabajo.</w:t>
      </w:r>
    </w:p>
    <w:p w:rsidR="0074275E" w:rsidRPr="004736BB" w:rsidRDefault="00624F1E" w:rsidP="00BC050D">
      <w:pPr>
        <w:pStyle w:val="Prrafodelista"/>
        <w:numPr>
          <w:ilvl w:val="0"/>
          <w:numId w:val="6"/>
        </w:numPr>
        <w:spacing w:before="240" w:after="120"/>
        <w:jc w:val="both"/>
        <w:rPr>
          <w:rFonts w:asciiTheme="minorHAnsi" w:hAnsiTheme="minorHAnsi" w:cstheme="minorHAnsi"/>
        </w:rPr>
      </w:pPr>
      <w:r w:rsidRPr="004736BB">
        <w:rPr>
          <w:rFonts w:asciiTheme="minorHAnsi" w:hAnsiTheme="minorHAnsi" w:cstheme="minorHAnsi"/>
        </w:rPr>
        <w:t>En cumplimiento a la LGT Art.73,</w:t>
      </w:r>
      <w:r w:rsidRPr="004736BB">
        <w:rPr>
          <w:rFonts w:asciiTheme="minorHAnsi" w:hAnsiTheme="minorHAnsi" w:cstheme="minorHAnsi"/>
          <w:color w:val="FF0000"/>
        </w:rPr>
        <w:t xml:space="preserve"> </w:t>
      </w:r>
      <w:r w:rsidRPr="004736BB">
        <w:rPr>
          <w:rFonts w:asciiTheme="minorHAnsi" w:hAnsiTheme="minorHAnsi" w:cstheme="minorHAnsi"/>
        </w:rPr>
        <w:t xml:space="preserve">se establece que todo proyecto con más de 80 trabajadores  deberá contar necesariamente con personal médico (in situ). </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C13EE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 xml:space="preserve">Red </w:t>
      </w:r>
      <w:r w:rsidR="00C13EE4" w:rsidRPr="00C13EE4">
        <w:rPr>
          <w:rFonts w:asciiTheme="minorHAnsi" w:hAnsiTheme="minorHAnsi" w:cstheme="minorHAnsi"/>
          <w:b/>
        </w:rPr>
        <w:t>Secundaria/Estación Distrital de Regulación (EDR):</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lastRenderedPageBreak/>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lastRenderedPageBreak/>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bookmarkStart w:id="0" w:name="_GoBack"/>
      <w:bookmarkEnd w:id="0"/>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4736BB" w:rsidRPr="004736BB" w:rsidRDefault="004736BB" w:rsidP="004736BB">
      <w:pPr>
        <w:pStyle w:val="Prrafodelista"/>
        <w:rPr>
          <w:rFonts w:asciiTheme="minorHAnsi" w:hAnsiTheme="minorHAnsi" w:cstheme="minorHAnsi"/>
          <w:sz w:val="22"/>
          <w:szCs w:val="22"/>
        </w:rPr>
      </w:pPr>
    </w:p>
    <w:p w:rsidR="004736BB" w:rsidRDefault="004736BB" w:rsidP="004736BB">
      <w:pPr>
        <w:spacing w:after="200" w:line="276" w:lineRule="auto"/>
        <w:contextualSpacing/>
        <w:jc w:val="both"/>
        <w:rPr>
          <w:rFonts w:asciiTheme="minorHAnsi" w:hAnsiTheme="minorHAnsi" w:cstheme="minorHAnsi"/>
          <w:sz w:val="22"/>
          <w:szCs w:val="22"/>
        </w:rPr>
      </w:pPr>
    </w:p>
    <w:p w:rsidR="004736BB" w:rsidRPr="004736BB" w:rsidRDefault="004736BB" w:rsidP="004736BB">
      <w:pPr>
        <w:spacing w:after="200" w:line="276" w:lineRule="auto"/>
        <w:contextualSpacing/>
        <w:jc w:val="both"/>
        <w:rPr>
          <w:rFonts w:asciiTheme="minorHAnsi" w:hAnsiTheme="minorHAnsi" w:cstheme="minorHAnsi"/>
          <w:sz w:val="22"/>
          <w:szCs w:val="22"/>
        </w:rPr>
      </w:pP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lastRenderedPageBreak/>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lastRenderedPageBreak/>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lastRenderedPageBreak/>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w:t>
      </w:r>
      <w:r w:rsidRPr="002260FA">
        <w:rPr>
          <w:rFonts w:asciiTheme="minorHAnsi" w:hAnsiTheme="minorHAnsi" w:cstheme="minorHAnsi"/>
          <w:sz w:val="22"/>
          <w:szCs w:val="20"/>
        </w:rPr>
        <w:t xml:space="preserv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6A5780"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6A5780" w:rsidRDefault="00164342" w:rsidP="00BC050D">
      <w:pPr>
        <w:pStyle w:val="Ttulo2"/>
        <w:numPr>
          <w:ilvl w:val="1"/>
          <w:numId w:val="10"/>
        </w:numPr>
        <w:rPr>
          <w:rFonts w:asciiTheme="minorHAnsi" w:hAnsiTheme="minorHAnsi" w:cstheme="minorHAnsi"/>
          <w:color w:val="auto"/>
        </w:rPr>
      </w:pPr>
      <w:r w:rsidRPr="006A5780">
        <w:rPr>
          <w:rFonts w:asciiTheme="minorHAnsi" w:hAnsiTheme="minorHAnsi" w:cstheme="minorHAnsi"/>
          <w:b/>
          <w:color w:val="auto"/>
          <w:sz w:val="22"/>
          <w:szCs w:val="22"/>
        </w:rPr>
        <w:t>GARANTÍA ADICIONAL</w:t>
      </w:r>
      <w:r w:rsidR="00297752" w:rsidRPr="006A5780">
        <w:rPr>
          <w:rFonts w:asciiTheme="minorHAnsi" w:hAnsiTheme="minorHAnsi" w:cstheme="minorHAnsi"/>
          <w:b/>
          <w:color w:val="auto"/>
          <w:sz w:val="22"/>
          <w:szCs w:val="22"/>
        </w:rPr>
        <w:t xml:space="preserve"> A LA GARANTIA </w:t>
      </w:r>
      <w:r w:rsidRPr="006A5780">
        <w:rPr>
          <w:rFonts w:asciiTheme="minorHAnsi" w:hAnsiTheme="minorHAnsi" w:cstheme="minorHAnsi"/>
          <w:b/>
          <w:color w:val="auto"/>
          <w:sz w:val="22"/>
          <w:szCs w:val="22"/>
        </w:rPr>
        <w:t>DE CUMPLIMIENTO DE CONTRATO DE OBRA</w:t>
      </w:r>
      <w:r w:rsidR="00297752" w:rsidRPr="006A5780">
        <w:rPr>
          <w:rFonts w:asciiTheme="minorHAnsi" w:hAnsiTheme="minorHAnsi" w:cstheme="minorHAnsi"/>
          <w:b/>
          <w:color w:val="auto"/>
          <w:sz w:val="22"/>
          <w:szCs w:val="22"/>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w:t>
      </w:r>
      <w:r w:rsidRPr="002260FA">
        <w:rPr>
          <w:rFonts w:asciiTheme="minorHAnsi" w:hAnsiTheme="minorHAnsi" w:cstheme="minorHAnsi"/>
          <w:sz w:val="22"/>
          <w:szCs w:val="20"/>
        </w:rPr>
        <w:lastRenderedPageBreak/>
        <w:t xml:space="preserve">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lastRenderedPageBreak/>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w:t>
            </w:r>
            <w:r w:rsidRPr="002260FA">
              <w:rPr>
                <w:rFonts w:asciiTheme="minorHAnsi" w:hAnsiTheme="minorHAnsi" w:cstheme="minorHAnsi"/>
                <w:sz w:val="20"/>
                <w:szCs w:val="20"/>
              </w:rPr>
              <w:lastRenderedPageBreak/>
              <w:t xml:space="preserve">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E7" w:rsidRDefault="00B340E7" w:rsidP="00E92156">
      <w:r>
        <w:separator/>
      </w:r>
    </w:p>
  </w:endnote>
  <w:endnote w:type="continuationSeparator" w:id="0">
    <w:p w:rsidR="00B340E7" w:rsidRDefault="00B340E7"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2977"/>
      <w:gridCol w:w="3119"/>
      <w:gridCol w:w="2835"/>
    </w:tblGrid>
    <w:tr w:rsidR="00E16918" w:rsidRPr="000810BB" w:rsidTr="006A5780">
      <w:trPr>
        <w:trHeight w:val="138"/>
      </w:trPr>
      <w:tc>
        <w:tcPr>
          <w:tcW w:w="2977"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9"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2835"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6A5780">
      <w:trPr>
        <w:trHeight w:val="839"/>
      </w:trPr>
      <w:tc>
        <w:tcPr>
          <w:tcW w:w="2977"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119" w:type="dxa"/>
        </w:tcPr>
        <w:p w:rsidR="00E16918" w:rsidRDefault="00E16918" w:rsidP="00E16918">
          <w:pPr>
            <w:pStyle w:val="Piedepgina"/>
            <w:rPr>
              <w:rFonts w:ascii="Calibri" w:hAnsi="Calibri"/>
              <w:sz w:val="16"/>
              <w:szCs w:val="16"/>
              <w:lang w:val="es-BO" w:eastAsia="en-US"/>
            </w:rPr>
          </w:pPr>
        </w:p>
      </w:tc>
      <w:tc>
        <w:tcPr>
          <w:tcW w:w="2835"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A450D4" w:rsidRPr="000810BB" w:rsidTr="006A5780">
      <w:trPr>
        <w:trHeight w:val="553"/>
      </w:trPr>
      <w:tc>
        <w:tcPr>
          <w:tcW w:w="2977" w:type="dxa"/>
          <w:vAlign w:val="center"/>
        </w:tcPr>
        <w:p w:rsidR="00A450D4" w:rsidRPr="002E710B" w:rsidRDefault="00A450D4" w:rsidP="00A450D4">
          <w:pPr>
            <w:pStyle w:val="Piedepgina"/>
            <w:jc w:val="center"/>
            <w:rPr>
              <w:rFonts w:asciiTheme="minorHAnsi" w:hAnsiTheme="minorHAnsi" w:cstheme="minorHAnsi"/>
              <w:color w:val="FFFFFF" w:themeColor="background1"/>
              <w:sz w:val="16"/>
              <w:szCs w:val="16"/>
            </w:rPr>
          </w:pPr>
        </w:p>
        <w:p w:rsidR="00A450D4" w:rsidRPr="002E710B" w:rsidRDefault="00A450D4" w:rsidP="00A450D4">
          <w:pPr>
            <w:pStyle w:val="Piedepgina"/>
            <w:jc w:val="center"/>
            <w:rPr>
              <w:rFonts w:asciiTheme="minorHAnsi" w:hAnsiTheme="minorHAnsi" w:cstheme="minorHAnsi"/>
              <w:b/>
              <w:color w:val="FFFFFF" w:themeColor="background1"/>
              <w:sz w:val="16"/>
              <w:szCs w:val="16"/>
            </w:rPr>
          </w:pPr>
          <w:r w:rsidRPr="002E710B">
            <w:rPr>
              <w:rFonts w:asciiTheme="minorHAnsi" w:hAnsiTheme="minorHAnsi" w:cstheme="minorHAnsi"/>
              <w:b/>
              <w:color w:val="FFFFFF" w:themeColor="background1"/>
              <w:sz w:val="16"/>
              <w:szCs w:val="16"/>
            </w:rPr>
            <w:t xml:space="preserve">Ing. </w:t>
          </w:r>
          <w:r w:rsidR="002508FA" w:rsidRPr="002E710B">
            <w:rPr>
              <w:rFonts w:asciiTheme="minorHAnsi" w:hAnsiTheme="minorHAnsi" w:cstheme="minorHAnsi"/>
              <w:b/>
              <w:color w:val="FFFFFF" w:themeColor="background1"/>
              <w:sz w:val="16"/>
              <w:szCs w:val="16"/>
            </w:rPr>
            <w:t>Dora Padilla Lizarazu</w:t>
          </w:r>
        </w:p>
        <w:p w:rsidR="00A450D4" w:rsidRPr="002E710B" w:rsidRDefault="00A450D4" w:rsidP="00A450D4">
          <w:pPr>
            <w:pStyle w:val="Piedepgina"/>
            <w:jc w:val="center"/>
            <w:rPr>
              <w:rFonts w:asciiTheme="minorHAnsi" w:hAnsiTheme="minorHAnsi" w:cstheme="minorHAnsi"/>
              <w:color w:val="FFFFFF" w:themeColor="background1"/>
              <w:sz w:val="16"/>
              <w:szCs w:val="16"/>
            </w:rPr>
          </w:pPr>
          <w:r w:rsidRPr="002E710B">
            <w:rPr>
              <w:rFonts w:asciiTheme="minorHAnsi" w:hAnsiTheme="minorHAnsi" w:cstheme="minorHAnsi"/>
              <w:color w:val="FFFFFF" w:themeColor="background1"/>
              <w:sz w:val="16"/>
              <w:szCs w:val="16"/>
            </w:rPr>
            <w:t>INGENIER</w:t>
          </w:r>
          <w:r w:rsidR="002508FA" w:rsidRPr="002E710B">
            <w:rPr>
              <w:rFonts w:asciiTheme="minorHAnsi" w:hAnsiTheme="minorHAnsi" w:cstheme="minorHAnsi"/>
              <w:color w:val="FFFFFF" w:themeColor="background1"/>
              <w:sz w:val="16"/>
              <w:szCs w:val="16"/>
            </w:rPr>
            <w:t>O DE</w:t>
          </w:r>
          <w:r w:rsidRPr="002E710B">
            <w:rPr>
              <w:rFonts w:asciiTheme="minorHAnsi" w:hAnsiTheme="minorHAnsi" w:cstheme="minorHAnsi"/>
              <w:color w:val="FFFFFF" w:themeColor="background1"/>
              <w:sz w:val="16"/>
              <w:szCs w:val="16"/>
            </w:rPr>
            <w:t xml:space="preserve"> PROYECTOS</w:t>
          </w:r>
        </w:p>
        <w:p w:rsidR="00A450D4" w:rsidRPr="002E710B" w:rsidRDefault="00A450D4" w:rsidP="00A450D4">
          <w:pPr>
            <w:pStyle w:val="Piedepgina"/>
            <w:jc w:val="center"/>
            <w:rPr>
              <w:rFonts w:asciiTheme="minorHAnsi" w:hAnsiTheme="minorHAnsi" w:cstheme="minorHAnsi"/>
              <w:color w:val="FFFFFF" w:themeColor="background1"/>
              <w:sz w:val="16"/>
              <w:szCs w:val="16"/>
              <w:lang w:val="en-US"/>
            </w:rPr>
          </w:pPr>
          <w:r w:rsidRPr="002E710B">
            <w:rPr>
              <w:rFonts w:asciiTheme="minorHAnsi" w:hAnsiTheme="minorHAnsi" w:cstheme="minorHAnsi"/>
              <w:color w:val="FFFFFF" w:themeColor="background1"/>
              <w:sz w:val="16"/>
              <w:szCs w:val="16"/>
              <w:lang w:val="en-US"/>
            </w:rPr>
            <w:t>UIP - UDC - DRCB - GRGD -YPFB</w:t>
          </w:r>
        </w:p>
      </w:tc>
      <w:tc>
        <w:tcPr>
          <w:tcW w:w="3119" w:type="dxa"/>
          <w:vAlign w:val="center"/>
        </w:tcPr>
        <w:p w:rsidR="006A5780" w:rsidRPr="002E710B" w:rsidRDefault="006A5780" w:rsidP="006A5780">
          <w:pPr>
            <w:jc w:val="center"/>
            <w:rPr>
              <w:rFonts w:asciiTheme="minorHAnsi" w:hAnsiTheme="minorHAnsi" w:cstheme="minorHAnsi"/>
              <w:b/>
              <w:bCs/>
              <w:color w:val="FFFFFF" w:themeColor="background1"/>
              <w:sz w:val="16"/>
              <w:szCs w:val="16"/>
              <w:lang w:val="es-BO" w:eastAsia="en-US"/>
            </w:rPr>
          </w:pPr>
          <w:r w:rsidRPr="002E710B">
            <w:rPr>
              <w:rFonts w:asciiTheme="minorHAnsi" w:hAnsiTheme="minorHAnsi" w:cstheme="minorHAnsi"/>
              <w:b/>
              <w:bCs/>
              <w:color w:val="FFFFFF" w:themeColor="background1"/>
              <w:sz w:val="16"/>
              <w:szCs w:val="16"/>
              <w:lang w:val="es-BO" w:eastAsia="en-US"/>
            </w:rPr>
            <w:t>Ing. Ronald Milton Medinaceli Villarroel</w:t>
          </w:r>
        </w:p>
        <w:p w:rsidR="006A5780" w:rsidRPr="002E710B" w:rsidRDefault="006A5780" w:rsidP="006A5780">
          <w:pPr>
            <w:jc w:val="center"/>
            <w:rPr>
              <w:rFonts w:asciiTheme="minorHAnsi" w:hAnsiTheme="minorHAnsi" w:cstheme="minorHAnsi"/>
              <w:bCs/>
              <w:color w:val="FFFFFF" w:themeColor="background1"/>
              <w:sz w:val="16"/>
              <w:szCs w:val="16"/>
              <w:lang w:val="es-BO" w:eastAsia="en-US"/>
            </w:rPr>
          </w:pPr>
          <w:r w:rsidRPr="002E710B">
            <w:rPr>
              <w:rFonts w:asciiTheme="minorHAnsi" w:hAnsiTheme="minorHAnsi" w:cstheme="minorHAnsi"/>
              <w:bCs/>
              <w:color w:val="FFFFFF" w:themeColor="background1"/>
              <w:sz w:val="16"/>
              <w:szCs w:val="16"/>
              <w:lang w:val="es-BO" w:eastAsia="en-US"/>
            </w:rPr>
            <w:t>RESPONSABLE DE INGENIERIA Y PROYECTOS</w:t>
          </w:r>
        </w:p>
        <w:p w:rsidR="00A450D4" w:rsidRPr="002E710B" w:rsidRDefault="006A5780" w:rsidP="006A5780">
          <w:pPr>
            <w:pStyle w:val="Piedepgina"/>
            <w:jc w:val="center"/>
            <w:rPr>
              <w:rFonts w:asciiTheme="minorHAnsi" w:hAnsiTheme="minorHAnsi" w:cstheme="minorHAnsi"/>
              <w:color w:val="FFFFFF" w:themeColor="background1"/>
              <w:sz w:val="16"/>
              <w:szCs w:val="16"/>
              <w:lang w:val="en-US"/>
            </w:rPr>
          </w:pPr>
          <w:r w:rsidRPr="002E710B">
            <w:rPr>
              <w:rFonts w:asciiTheme="minorHAnsi" w:hAnsiTheme="minorHAnsi" w:cstheme="minorHAnsi"/>
              <w:bCs/>
              <w:color w:val="FFFFFF" w:themeColor="background1"/>
              <w:sz w:val="16"/>
              <w:szCs w:val="16"/>
              <w:lang w:val="en-US" w:eastAsia="en-US"/>
            </w:rPr>
            <w:t>UIP - UDC - DRCB - GRGD -YPFB</w:t>
          </w:r>
        </w:p>
      </w:tc>
      <w:tc>
        <w:tcPr>
          <w:tcW w:w="2835" w:type="dxa"/>
          <w:vAlign w:val="center"/>
        </w:tcPr>
        <w:p w:rsidR="00A450D4" w:rsidRPr="002E710B" w:rsidRDefault="00A450D4" w:rsidP="00A450D4">
          <w:pPr>
            <w:jc w:val="center"/>
            <w:rPr>
              <w:rFonts w:asciiTheme="minorHAnsi" w:hAnsiTheme="minorHAnsi" w:cstheme="minorHAnsi"/>
              <w:b/>
              <w:bCs/>
              <w:color w:val="FFFFFF" w:themeColor="background1"/>
              <w:sz w:val="16"/>
              <w:szCs w:val="16"/>
              <w:lang w:val="es-BO" w:eastAsia="en-US"/>
            </w:rPr>
          </w:pPr>
          <w:r w:rsidRPr="002E710B">
            <w:rPr>
              <w:rFonts w:asciiTheme="minorHAnsi" w:hAnsiTheme="minorHAnsi" w:cstheme="minorHAnsi"/>
              <w:b/>
              <w:bCs/>
              <w:color w:val="FFFFFF" w:themeColor="background1"/>
              <w:sz w:val="16"/>
              <w:szCs w:val="16"/>
              <w:lang w:val="es-BO" w:eastAsia="en-US"/>
            </w:rPr>
            <w:t>Ing. Saúl Mita Huayllas</w:t>
          </w:r>
        </w:p>
        <w:p w:rsidR="00A450D4" w:rsidRPr="002E710B" w:rsidRDefault="00A450D4" w:rsidP="00A450D4">
          <w:pPr>
            <w:jc w:val="center"/>
            <w:rPr>
              <w:rFonts w:asciiTheme="minorHAnsi" w:hAnsiTheme="minorHAnsi" w:cstheme="minorHAnsi"/>
              <w:b/>
              <w:bCs/>
              <w:color w:val="FFFFFF" w:themeColor="background1"/>
              <w:sz w:val="16"/>
              <w:szCs w:val="16"/>
              <w:lang w:val="es-BO" w:eastAsia="en-US"/>
            </w:rPr>
          </w:pPr>
          <w:r w:rsidRPr="002E710B">
            <w:rPr>
              <w:rFonts w:asciiTheme="minorHAnsi" w:hAnsiTheme="minorHAnsi" w:cstheme="minorHAnsi"/>
              <w:color w:val="FFFFFF" w:themeColor="background1"/>
              <w:sz w:val="16"/>
              <w:szCs w:val="16"/>
              <w:lang w:val="es-BO" w:eastAsia="en-US"/>
            </w:rPr>
            <w:t>JEFE UNIDAD DISTRITAL DE CONSTRUCCIONES</w:t>
          </w:r>
        </w:p>
        <w:p w:rsidR="00A450D4" w:rsidRPr="002E710B" w:rsidRDefault="00A450D4" w:rsidP="00A450D4">
          <w:pPr>
            <w:pStyle w:val="Piedepgina"/>
            <w:jc w:val="center"/>
            <w:rPr>
              <w:rFonts w:asciiTheme="minorHAnsi" w:hAnsiTheme="minorHAnsi" w:cstheme="minorHAnsi"/>
              <w:color w:val="FFFFFF" w:themeColor="background1"/>
              <w:sz w:val="16"/>
              <w:szCs w:val="16"/>
            </w:rPr>
          </w:pPr>
          <w:r w:rsidRPr="002E710B">
            <w:rPr>
              <w:rFonts w:asciiTheme="minorHAnsi" w:hAnsiTheme="minorHAnsi" w:cstheme="minorHAnsi"/>
              <w:color w:val="FFFFFF" w:themeColor="background1"/>
              <w:sz w:val="16"/>
              <w:szCs w:val="16"/>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E7" w:rsidRDefault="00B340E7" w:rsidP="00E92156">
      <w:r>
        <w:separator/>
      </w:r>
    </w:p>
  </w:footnote>
  <w:footnote w:type="continuationSeparator" w:id="0">
    <w:p w:rsidR="00B340E7" w:rsidRDefault="00B340E7"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6A5780">
            <w:rPr>
              <w:rFonts w:ascii="Calibri" w:eastAsia="Arial Unicode MS" w:hAnsi="Calibri" w:cs="Arial"/>
              <w:b/>
              <w:sz w:val="18"/>
              <w:szCs w:val="14"/>
              <w:lang w:val="es-MX"/>
            </w:rPr>
            <w:t>4</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D646B9" w:rsidRPr="00D646B9">
            <w:rPr>
              <w:rFonts w:asciiTheme="minorHAnsi" w:hAnsiTheme="minorHAnsi"/>
              <w:sz w:val="18"/>
              <w:szCs w:val="18"/>
            </w:rPr>
            <w:t>OBRAS CIVILES Y MECANICAS CONSTRUCCION RED SECUNDARIA MUNICIPIO SHINAHOTA POBLACIONES IBUELO Y SAN ISIDRO</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E710B">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E710B">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327E4"/>
    <w:rsid w:val="00090211"/>
    <w:rsid w:val="000A4EB4"/>
    <w:rsid w:val="000F56A0"/>
    <w:rsid w:val="001245F3"/>
    <w:rsid w:val="001329AB"/>
    <w:rsid w:val="001374ED"/>
    <w:rsid w:val="00152360"/>
    <w:rsid w:val="00164342"/>
    <w:rsid w:val="00171D1B"/>
    <w:rsid w:val="00175D12"/>
    <w:rsid w:val="00181446"/>
    <w:rsid w:val="001A43A1"/>
    <w:rsid w:val="001A64B5"/>
    <w:rsid w:val="001B0E33"/>
    <w:rsid w:val="001C6786"/>
    <w:rsid w:val="001E4EC8"/>
    <w:rsid w:val="0020022A"/>
    <w:rsid w:val="002050FC"/>
    <w:rsid w:val="002132C3"/>
    <w:rsid w:val="002260FA"/>
    <w:rsid w:val="002508FA"/>
    <w:rsid w:val="0026374C"/>
    <w:rsid w:val="002948BA"/>
    <w:rsid w:val="00297752"/>
    <w:rsid w:val="002B2CE5"/>
    <w:rsid w:val="002D79D1"/>
    <w:rsid w:val="002E710B"/>
    <w:rsid w:val="002F560B"/>
    <w:rsid w:val="00333C5E"/>
    <w:rsid w:val="00347FBA"/>
    <w:rsid w:val="00350C17"/>
    <w:rsid w:val="003A2567"/>
    <w:rsid w:val="003A3088"/>
    <w:rsid w:val="003A32E7"/>
    <w:rsid w:val="003C6E4C"/>
    <w:rsid w:val="003D6001"/>
    <w:rsid w:val="003D6404"/>
    <w:rsid w:val="004736BB"/>
    <w:rsid w:val="004D4D35"/>
    <w:rsid w:val="0055274C"/>
    <w:rsid w:val="00592C8E"/>
    <w:rsid w:val="005B2402"/>
    <w:rsid w:val="005E1666"/>
    <w:rsid w:val="005F1623"/>
    <w:rsid w:val="005F621C"/>
    <w:rsid w:val="00624F1E"/>
    <w:rsid w:val="006371AA"/>
    <w:rsid w:val="0064672E"/>
    <w:rsid w:val="0065244E"/>
    <w:rsid w:val="006704A4"/>
    <w:rsid w:val="00683BE1"/>
    <w:rsid w:val="0068692F"/>
    <w:rsid w:val="006A4C92"/>
    <w:rsid w:val="006A5780"/>
    <w:rsid w:val="006F280D"/>
    <w:rsid w:val="00724A3D"/>
    <w:rsid w:val="0074275E"/>
    <w:rsid w:val="00795CB8"/>
    <w:rsid w:val="007A7AA0"/>
    <w:rsid w:val="007C38E7"/>
    <w:rsid w:val="008340CE"/>
    <w:rsid w:val="008425DD"/>
    <w:rsid w:val="008970A5"/>
    <w:rsid w:val="008A1459"/>
    <w:rsid w:val="008E3F90"/>
    <w:rsid w:val="008F6FD9"/>
    <w:rsid w:val="00931E47"/>
    <w:rsid w:val="00932C22"/>
    <w:rsid w:val="00957241"/>
    <w:rsid w:val="00996BF5"/>
    <w:rsid w:val="00A450D4"/>
    <w:rsid w:val="00A67E35"/>
    <w:rsid w:val="00AD5AB4"/>
    <w:rsid w:val="00AE247F"/>
    <w:rsid w:val="00AE2BD3"/>
    <w:rsid w:val="00AE5167"/>
    <w:rsid w:val="00B2486F"/>
    <w:rsid w:val="00B278BD"/>
    <w:rsid w:val="00B3406B"/>
    <w:rsid w:val="00B340E7"/>
    <w:rsid w:val="00B514F2"/>
    <w:rsid w:val="00B622FE"/>
    <w:rsid w:val="00B9515A"/>
    <w:rsid w:val="00BC050D"/>
    <w:rsid w:val="00C13EE4"/>
    <w:rsid w:val="00C65404"/>
    <w:rsid w:val="00C8287B"/>
    <w:rsid w:val="00C82AF5"/>
    <w:rsid w:val="00C84243"/>
    <w:rsid w:val="00CE66DE"/>
    <w:rsid w:val="00D00A8C"/>
    <w:rsid w:val="00D14AE7"/>
    <w:rsid w:val="00D24C3F"/>
    <w:rsid w:val="00D2561F"/>
    <w:rsid w:val="00D34D64"/>
    <w:rsid w:val="00D40887"/>
    <w:rsid w:val="00D5156C"/>
    <w:rsid w:val="00D575DC"/>
    <w:rsid w:val="00D6134F"/>
    <w:rsid w:val="00D646B9"/>
    <w:rsid w:val="00D9288B"/>
    <w:rsid w:val="00DD3076"/>
    <w:rsid w:val="00E16918"/>
    <w:rsid w:val="00E31473"/>
    <w:rsid w:val="00E36EB7"/>
    <w:rsid w:val="00E4303F"/>
    <w:rsid w:val="00E806D0"/>
    <w:rsid w:val="00E92156"/>
    <w:rsid w:val="00E94D22"/>
    <w:rsid w:val="00ED359F"/>
    <w:rsid w:val="00ED45EA"/>
    <w:rsid w:val="00ED7806"/>
    <w:rsid w:val="00EE5520"/>
    <w:rsid w:val="00F37C49"/>
    <w:rsid w:val="00F54AB6"/>
    <w:rsid w:val="00F61F8E"/>
    <w:rsid w:val="00F700A2"/>
    <w:rsid w:val="00FD5561"/>
    <w:rsid w:val="00FF0CB9"/>
    <w:rsid w:val="00FF6D3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3F381-E3B4-4D79-AA89-8D8D9E43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4335</Words>
  <Characters>23843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Dora Padilla Lizarazu</cp:lastModifiedBy>
  <cp:revision>12</cp:revision>
  <cp:lastPrinted>2018-10-10T15:55:00Z</cp:lastPrinted>
  <dcterms:created xsi:type="dcterms:W3CDTF">2018-10-16T20:00:00Z</dcterms:created>
  <dcterms:modified xsi:type="dcterms:W3CDTF">2019-04-04T21:50:00Z</dcterms:modified>
</cp:coreProperties>
</file>