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95" w:rsidRDefault="00081D95" w:rsidP="008B222B">
      <w:pPr>
        <w:jc w:val="center"/>
        <w:rPr>
          <w:rFonts w:asciiTheme="minorHAnsi" w:hAnsiTheme="minorHAnsi"/>
          <w:b/>
        </w:rPr>
      </w:pPr>
      <w:r w:rsidRPr="00B75CFE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NEXO A </w:t>
      </w:r>
      <w:r w:rsidR="0054015F">
        <w:rPr>
          <w:rFonts w:asciiTheme="minorHAnsi" w:hAnsiTheme="minorHAnsi"/>
          <w:b/>
        </w:rPr>
        <w:t>LOS TÉRMINOS DE REFERENCIA</w:t>
      </w:r>
    </w:p>
    <w:p w:rsidR="00081D95" w:rsidRDefault="00081D95" w:rsidP="008B222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VALIDACIONES</w:t>
      </w:r>
    </w:p>
    <w:p w:rsidR="00081D95" w:rsidRDefault="00081D95" w:rsidP="008B222B">
      <w:pPr>
        <w:jc w:val="center"/>
        <w:rPr>
          <w:rFonts w:asciiTheme="minorHAnsi" w:hAnsiTheme="minorHAnsi"/>
          <w:b/>
        </w:rPr>
      </w:pPr>
    </w:p>
    <w:p w:rsidR="00081D95" w:rsidRDefault="00081D95" w:rsidP="008B222B">
      <w:pPr>
        <w:jc w:val="right"/>
        <w:rPr>
          <w:rFonts w:asciiTheme="minorHAnsi" w:hAnsiTheme="minorHAnsi"/>
          <w:b/>
        </w:rPr>
      </w:pPr>
      <w:r>
        <w:rPr>
          <w:rFonts w:ascii="Calibri" w:eastAsia="Arial Unicode MS" w:hAnsi="Calibri" w:cs="Calibri"/>
          <w:color w:val="000000"/>
          <w:sz w:val="22"/>
          <w:szCs w:val="22"/>
          <w:lang w:val="es-MX"/>
        </w:rPr>
        <w:t>Santa Cruz, 0</w:t>
      </w:r>
      <w:r w:rsidR="00410E54">
        <w:rPr>
          <w:rFonts w:ascii="Calibri" w:eastAsia="Arial Unicode MS" w:hAnsi="Calibri" w:cs="Calibri"/>
          <w:color w:val="000000"/>
          <w:sz w:val="22"/>
          <w:szCs w:val="22"/>
          <w:lang w:val="es-MX"/>
        </w:rPr>
        <w:t>7</w:t>
      </w:r>
      <w:bookmarkStart w:id="0" w:name="_GoBack"/>
      <w:bookmarkEnd w:id="0"/>
      <w:r>
        <w:rPr>
          <w:rFonts w:ascii="Calibri" w:eastAsia="Arial Unicode MS" w:hAnsi="Calibri" w:cs="Calibri"/>
          <w:color w:val="000000"/>
          <w:sz w:val="22"/>
          <w:szCs w:val="22"/>
          <w:lang w:val="es-MX"/>
        </w:rPr>
        <w:t xml:space="preserve"> de mayo de 2019</w:t>
      </w:r>
    </w:p>
    <w:p w:rsidR="00081D95" w:rsidRDefault="00081D95" w:rsidP="008B222B">
      <w:pPr>
        <w:jc w:val="center"/>
        <w:rPr>
          <w:rFonts w:asciiTheme="minorHAnsi" w:hAnsiTheme="minorHAnsi"/>
          <w:b/>
        </w:rPr>
      </w:pPr>
    </w:p>
    <w:p w:rsidR="00081D95" w:rsidRPr="00646DCE" w:rsidRDefault="00081D95" w:rsidP="008B222B">
      <w:pPr>
        <w:jc w:val="center"/>
        <w:rPr>
          <w:rFonts w:asciiTheme="minorHAnsi" w:hAnsiTheme="minorHAnsi"/>
          <w:b/>
        </w:rPr>
      </w:pPr>
      <w:r w:rsidRPr="00646DCE">
        <w:rPr>
          <w:rFonts w:asciiTheme="minorHAnsi" w:hAnsiTheme="minorHAnsi"/>
          <w:b/>
        </w:rPr>
        <w:t>“</w:t>
      </w:r>
      <w:r w:rsidRPr="00081D95">
        <w:rPr>
          <w:rFonts w:ascii="Calibri" w:hAnsi="Calibri" w:cs="Calibri"/>
          <w:b/>
          <w:color w:val="000000"/>
        </w:rPr>
        <w:t>SERVICIO DE CONSULTORÍA DE ELABORACIÓN, ACTUALIZACIÓN DE LA DOCUMENTACIÓN TÉCNICA Y DEL ESTUDIO HAZOP DE LA PLANTA DE SEPARACIÓN DE LÍQUIDOS RÍO GRANDE</w:t>
      </w:r>
      <w:r>
        <w:rPr>
          <w:rFonts w:asciiTheme="minorHAnsi" w:hAnsiTheme="minorHAnsi"/>
          <w:b/>
        </w:rPr>
        <w:t>”</w:t>
      </w:r>
    </w:p>
    <w:p w:rsidR="00081D95" w:rsidRDefault="00081D95" w:rsidP="008B222B">
      <w:pPr>
        <w:rPr>
          <w:lang w:val="es-MX"/>
        </w:rPr>
      </w:pPr>
    </w:p>
    <w:p w:rsidR="00081D95" w:rsidRPr="001978ED" w:rsidRDefault="00081D95" w:rsidP="008B222B">
      <w:pPr>
        <w:jc w:val="right"/>
        <w:rPr>
          <w:rFonts w:eastAsia="Arial Unicode MS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081D95" w:rsidRPr="00C97CA4" w:rsidTr="008B222B">
        <w:trPr>
          <w:trHeight w:val="417"/>
        </w:trPr>
        <w:tc>
          <w:tcPr>
            <w:tcW w:w="9544" w:type="dxa"/>
            <w:shd w:val="clear" w:color="auto" w:fill="DEEAF6"/>
            <w:vAlign w:val="center"/>
          </w:tcPr>
          <w:p w:rsidR="00081D95" w:rsidRPr="00C3488A" w:rsidRDefault="00081D95" w:rsidP="00081D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3488A">
              <w:rPr>
                <w:rFonts w:asciiTheme="minorHAnsi" w:hAnsiTheme="minorHAnsi"/>
                <w:b/>
                <w:sz w:val="20"/>
                <w:szCs w:val="20"/>
              </w:rPr>
              <w:t>GARANTIAS FINANCIERAS</w:t>
            </w:r>
          </w:p>
        </w:tc>
      </w:tr>
      <w:tr w:rsidR="00081D95" w:rsidRPr="00C97CA4" w:rsidTr="008B222B">
        <w:trPr>
          <w:trHeight w:val="371"/>
        </w:trPr>
        <w:tc>
          <w:tcPr>
            <w:tcW w:w="9544" w:type="dxa"/>
            <w:shd w:val="clear" w:color="auto" w:fill="DEEAF6"/>
            <w:vAlign w:val="center"/>
          </w:tcPr>
          <w:p w:rsidR="00081D95" w:rsidRPr="00C3488A" w:rsidRDefault="00081D95" w:rsidP="00081D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3488A">
              <w:rPr>
                <w:rFonts w:asciiTheme="minorHAnsi" w:hAnsiTheme="minorHAnsi"/>
                <w:b/>
                <w:sz w:val="20"/>
                <w:szCs w:val="20"/>
              </w:rPr>
              <w:t xml:space="preserve">GARANTÍA DE SERIEDAD DE PROPUESTA </w:t>
            </w:r>
          </w:p>
        </w:tc>
      </w:tr>
      <w:tr w:rsidR="00081D95" w:rsidRPr="00C97CA4" w:rsidTr="00081D95">
        <w:trPr>
          <w:trHeight w:val="371"/>
        </w:trPr>
        <w:tc>
          <w:tcPr>
            <w:tcW w:w="9544" w:type="dxa"/>
            <w:shd w:val="clear" w:color="auto" w:fill="auto"/>
            <w:vAlign w:val="center"/>
          </w:tcPr>
          <w:p w:rsidR="0031585D" w:rsidRPr="0031585D" w:rsidRDefault="0031585D" w:rsidP="0031585D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BO"/>
              </w:rPr>
            </w:pPr>
            <w:r w:rsidRPr="0031585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s-BO"/>
              </w:rPr>
              <w:t>GARANTÍA DE SERIEDAD DE PROPUESTA</w:t>
            </w:r>
            <w:r w:rsidRPr="0031585D">
              <w:rPr>
                <w:rFonts w:ascii="Calibri" w:hAnsi="Calibri" w:cs="Calibri"/>
                <w:b/>
                <w:bCs/>
                <w:sz w:val="20"/>
                <w:szCs w:val="20"/>
                <w:lang w:val="es-BO"/>
              </w:rPr>
              <w:t>.</w:t>
            </w:r>
          </w:p>
          <w:p w:rsidR="0031585D" w:rsidRPr="0031585D" w:rsidRDefault="0031585D" w:rsidP="0031585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  <w:r w:rsidRPr="0031585D">
              <w:rPr>
                <w:rFonts w:ascii="Calibri" w:hAnsi="Calibri" w:cs="Calibri"/>
                <w:bCs/>
                <w:sz w:val="20"/>
                <w:szCs w:val="20"/>
                <w:lang w:val="es-BO"/>
              </w:rPr>
              <w:t xml:space="preserve">A elección de la empresa proponente, ésta podrá optar por uno de los siguientes instrumentos financieros: </w:t>
            </w:r>
          </w:p>
          <w:p w:rsidR="0031585D" w:rsidRPr="0031585D" w:rsidRDefault="0031585D" w:rsidP="0031585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</w:p>
          <w:p w:rsidR="0031585D" w:rsidRPr="0031585D" w:rsidRDefault="0031585D" w:rsidP="0031585D">
            <w:pPr>
              <w:pStyle w:val="Prrafodelista"/>
              <w:numPr>
                <w:ilvl w:val="0"/>
                <w:numId w:val="38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  <w:r w:rsidRPr="0031585D">
              <w:rPr>
                <w:rFonts w:ascii="Calibri" w:hAnsi="Calibri" w:cs="Calibri"/>
                <w:b/>
                <w:bCs/>
                <w:sz w:val="20"/>
                <w:szCs w:val="20"/>
                <w:lang w:val="es-BO"/>
              </w:rPr>
              <w:t>Boleta de Garantía</w:t>
            </w:r>
            <w:r w:rsidRPr="0031585D">
              <w:rPr>
                <w:rFonts w:ascii="Calibri" w:hAnsi="Calibri" w:cs="Calibri"/>
                <w:bCs/>
                <w:sz w:val="20"/>
                <w:szCs w:val="20"/>
                <w:lang w:val="es-BO"/>
              </w:rPr>
              <w:t>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ciento cincuenta (150) días calendario computables a partir de la fecha de Presentación de Propuestas, por un monto equivalente de al menos Uno (1) % del valor total de la propuesta económica.</w:t>
            </w:r>
          </w:p>
          <w:p w:rsidR="0031585D" w:rsidRPr="0031585D" w:rsidRDefault="0031585D" w:rsidP="0031585D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</w:p>
          <w:p w:rsidR="0031585D" w:rsidRPr="0031585D" w:rsidRDefault="0031585D" w:rsidP="0031585D">
            <w:pPr>
              <w:pStyle w:val="Prrafodelista"/>
              <w:numPr>
                <w:ilvl w:val="0"/>
                <w:numId w:val="38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  <w:r w:rsidRPr="0031585D">
              <w:rPr>
                <w:rFonts w:ascii="Calibri" w:hAnsi="Calibri" w:cs="Calibri"/>
                <w:b/>
                <w:bCs/>
                <w:sz w:val="20"/>
                <w:szCs w:val="20"/>
                <w:lang w:val="es-BO"/>
              </w:rPr>
              <w:t>Garantía a Primer Requerimiento,</w:t>
            </w:r>
            <w:r w:rsidRPr="0031585D">
              <w:rPr>
                <w:rFonts w:ascii="Calibri" w:hAnsi="Calibri" w:cs="Calibri"/>
                <w:bCs/>
                <w:sz w:val="20"/>
                <w:szCs w:val="20"/>
                <w:lang w:val="es-BO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ciento cincuenta (150) días calendario computables a partir de la fecha de Presentación de Propuestas, por un monto equivalente de al menos Uno (1) % del valor total la propuesta económica.</w:t>
            </w:r>
          </w:p>
          <w:p w:rsidR="0031585D" w:rsidRPr="0031585D" w:rsidRDefault="0031585D" w:rsidP="0031585D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0"/>
                <w:szCs w:val="20"/>
                <w:lang w:val="es-BO"/>
              </w:rPr>
            </w:pPr>
          </w:p>
          <w:p w:rsidR="0031585D" w:rsidRDefault="0031585D" w:rsidP="0031585D">
            <w:pPr>
              <w:pStyle w:val="Prrafodelista"/>
              <w:numPr>
                <w:ilvl w:val="0"/>
                <w:numId w:val="38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31585D">
              <w:rPr>
                <w:rFonts w:ascii="Calibri" w:hAnsi="Calibri" w:cs="Calibri"/>
                <w:b/>
                <w:bCs/>
                <w:sz w:val="20"/>
                <w:szCs w:val="20"/>
                <w:lang w:val="es-BO"/>
              </w:rPr>
              <w:t>Póliza de caución a Primer requerimiento para Entidades Públicas,</w:t>
            </w:r>
            <w:r w:rsidRPr="0031585D">
              <w:rPr>
                <w:rFonts w:ascii="Calibri" w:hAnsi="Calibri" w:cs="Calibri"/>
                <w:bCs/>
                <w:sz w:val="20"/>
                <w:szCs w:val="20"/>
                <w:lang w:val="es-BO"/>
              </w:rPr>
              <w:t xml:space="preserve"> 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ciento cincuenta (150) días calendario computables a partir de la fecha de Presentación de Propuestas, por un monto equivalente de al menos Uno (1) % del valor total de la propuesta económica.</w:t>
            </w:r>
          </w:p>
          <w:p w:rsidR="00081D95" w:rsidRPr="00C3488A" w:rsidRDefault="00081D95" w:rsidP="00081D95">
            <w:pPr>
              <w:rPr>
                <w:rFonts w:asciiTheme="minorHAnsi" w:hAnsiTheme="minorHAnsi"/>
                <w:b/>
                <w:sz w:val="20"/>
                <w:szCs w:val="20"/>
                <w:lang w:val="es-BO"/>
              </w:rPr>
            </w:pPr>
          </w:p>
        </w:tc>
      </w:tr>
      <w:tr w:rsidR="00081D95" w:rsidRPr="00C97CA4" w:rsidTr="008B222B">
        <w:trPr>
          <w:trHeight w:val="371"/>
        </w:trPr>
        <w:tc>
          <w:tcPr>
            <w:tcW w:w="9544" w:type="dxa"/>
            <w:shd w:val="clear" w:color="auto" w:fill="DEEAF6"/>
            <w:vAlign w:val="center"/>
          </w:tcPr>
          <w:p w:rsidR="00081D95" w:rsidRPr="00C97CA4" w:rsidRDefault="00081D95" w:rsidP="00081D95">
            <w:pPr>
              <w:rPr>
                <w:rFonts w:asciiTheme="minorHAnsi" w:hAnsiTheme="minorHAnsi"/>
                <w:sz w:val="20"/>
                <w:szCs w:val="20"/>
              </w:rPr>
            </w:pPr>
            <w:r w:rsidRPr="00C97CA4">
              <w:rPr>
                <w:rFonts w:asciiTheme="minorHAnsi" w:hAnsiTheme="minorHAnsi"/>
                <w:b/>
                <w:sz w:val="20"/>
                <w:szCs w:val="20"/>
              </w:rPr>
              <w:t>GARANTÍA DE CUMPLIMIENTO DE CONTRATO</w:t>
            </w:r>
          </w:p>
        </w:tc>
      </w:tr>
      <w:tr w:rsidR="00081D95" w:rsidRPr="00C97CA4" w:rsidTr="008B222B">
        <w:tc>
          <w:tcPr>
            <w:tcW w:w="9544" w:type="dxa"/>
            <w:shd w:val="clear" w:color="auto" w:fill="auto"/>
            <w:vAlign w:val="center"/>
          </w:tcPr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elección de la empresa adjudicada, ésta podrá optar por uno de los siguientes instrumentos financieros: </w:t>
            </w:r>
          </w:p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Boleta de Garantía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emitida por una Entidad de Intermediación Financiera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(Bancaria)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      </w:r>
          </w:p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Garantía a Primer Requerimiento</w:t>
            </w:r>
            <w:r>
              <w:rPr>
                <w:rFonts w:asciiTheme="minorHAnsi" w:hAnsiTheme="minorHAnsi"/>
                <w:sz w:val="20"/>
                <w:szCs w:val="20"/>
              </w:rPr>
              <w:t>, emitida por una Entidad de Intermediación Financiera (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Bancaria)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vigencia de 60 días calendario adicionales a la vigencia del contrato, por un monto equivalente al 7% del valor total del contrato.</w:t>
            </w:r>
          </w:p>
          <w:p w:rsidR="0031585D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81D95" w:rsidRPr="00C97CA4" w:rsidRDefault="0031585D" w:rsidP="003158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Póliza de caución a Primer requerimiento para Entidades Públicas</w:t>
            </w:r>
            <w:r>
              <w:rPr>
                <w:rFonts w:asciiTheme="minorHAnsi" w:hAnsiTheme="minorHAnsi"/>
                <w:sz w:val="20"/>
                <w:szCs w:val="20"/>
              </w:rPr>
      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</w:tc>
      </w:tr>
    </w:tbl>
    <w:p w:rsidR="00081D95" w:rsidRDefault="00081D95" w:rsidP="008B222B">
      <w:pPr>
        <w:jc w:val="center"/>
        <w:rPr>
          <w:rFonts w:eastAsia="Arial Unicode MS" w:cs="Calibri"/>
          <w:b/>
          <w:color w:val="000000"/>
          <w:sz w:val="20"/>
          <w:szCs w:val="20"/>
        </w:rPr>
      </w:pPr>
    </w:p>
    <w:p w:rsidR="00081D95" w:rsidRDefault="00081D95" w:rsidP="008B222B">
      <w:pPr>
        <w:spacing w:line="360" w:lineRule="auto"/>
        <w:jc w:val="center"/>
        <w:rPr>
          <w:rFonts w:eastAsia="Arial Unicode MS" w:cs="Calibri"/>
          <w:b/>
          <w:color w:val="000000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Pr="00693000" w:rsidRDefault="00081D95" w:rsidP="008B222B">
      <w:pPr>
        <w:rPr>
          <w:rFonts w:eastAsia="Arial Unicode MS" w:cs="Calibri"/>
          <w:sz w:val="20"/>
          <w:szCs w:val="20"/>
        </w:rPr>
      </w:pPr>
    </w:p>
    <w:p w:rsidR="00081D95" w:rsidRDefault="00081D95" w:rsidP="008B222B">
      <w:pPr>
        <w:spacing w:line="360" w:lineRule="auto"/>
        <w:jc w:val="center"/>
        <w:rPr>
          <w:rFonts w:eastAsia="Arial Unicode MS" w:cs="Calibri"/>
          <w:sz w:val="20"/>
          <w:szCs w:val="20"/>
        </w:rPr>
      </w:pPr>
    </w:p>
    <w:p w:rsidR="00081D95" w:rsidRPr="0064126B" w:rsidRDefault="00081D95" w:rsidP="008B222B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693000">
        <w:rPr>
          <w:rFonts w:eastAsia="Arial Unicode MS" w:cs="Calibri"/>
          <w:sz w:val="20"/>
          <w:szCs w:val="20"/>
        </w:rPr>
        <w:br w:type="page"/>
      </w:r>
      <w:r w:rsidRPr="0064126B">
        <w:rPr>
          <w:rFonts w:asciiTheme="minorHAnsi" w:hAnsiTheme="minorHAnsi" w:cs="Arial"/>
          <w:b/>
          <w:bCs/>
          <w:sz w:val="20"/>
          <w:szCs w:val="20"/>
        </w:rPr>
        <w:lastRenderedPageBreak/>
        <w:t>INSTRUCCIONES PARA LA EMISION DE INSTRUMENTOS FINANCIEROS -V.3</w:t>
      </w:r>
    </w:p>
    <w:p w:rsidR="00081D95" w:rsidRPr="0064126B" w:rsidRDefault="00081D95" w:rsidP="008B222B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64126B">
        <w:rPr>
          <w:rFonts w:asciiTheme="minorHAnsi" w:hAnsiTheme="minorHAnsi" w:cs="Arial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64126B">
        <w:rPr>
          <w:rFonts w:asciiTheme="minorHAnsi" w:hAnsiTheme="minorHAnsi" w:cs="Arial"/>
          <w:sz w:val="20"/>
          <w:szCs w:val="20"/>
          <w:u w:val="single"/>
        </w:rPr>
        <w:t>cumpliendo obligatoriamente</w:t>
      </w:r>
      <w:r w:rsidRPr="0064126B">
        <w:rPr>
          <w:rFonts w:asciiTheme="minorHAnsi" w:hAnsiTheme="minorHAnsi" w:cs="Arial"/>
          <w:sz w:val="20"/>
          <w:szCs w:val="20"/>
        </w:rPr>
        <w:t xml:space="preserve"> con las siguientes condiciones:</w:t>
      </w:r>
    </w:p>
    <w:tbl>
      <w:tblPr>
        <w:tblW w:w="95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697"/>
      </w:tblGrid>
      <w:tr w:rsidR="00081D95" w:rsidRPr="0064126B" w:rsidTr="008B222B">
        <w:trPr>
          <w:trHeight w:val="208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VARIABLE</w:t>
            </w:r>
          </w:p>
        </w:tc>
        <w:tc>
          <w:tcPr>
            <w:tcW w:w="7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pStyle w:val="Prrafodelista"/>
              <w:tabs>
                <w:tab w:val="left" w:pos="1710"/>
                <w:tab w:val="center" w:pos="3203"/>
              </w:tabs>
              <w:ind w:left="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ab/>
            </w: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ab/>
              <w:t>INSTRUCCIÓN</w:t>
            </w:r>
          </w:p>
        </w:tc>
      </w:tr>
      <w:tr w:rsidR="00081D95" w:rsidRPr="0064126B" w:rsidTr="008B222B">
        <w:trPr>
          <w:trHeight w:val="66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INSTRUMENTO DE GARANTIA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Se aceptará 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únicamente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los instrumentos detallados en el anexo o acápite de Garantias Financieras.</w:t>
            </w:r>
          </w:p>
          <w:p w:rsidR="00081D95" w:rsidRPr="0064126B" w:rsidRDefault="00081D95" w:rsidP="00081D95">
            <w:pPr>
              <w:spacing w:before="60" w:after="60"/>
              <w:jc w:val="both"/>
              <w:rPr>
                <w:rStyle w:val="nfasis"/>
                <w:rFonts w:asciiTheme="minorHAnsi" w:hAnsiTheme="minorHAnsi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En caso de </w:t>
            </w:r>
            <w:r w:rsidRPr="0064126B">
              <w:rPr>
                <w:rFonts w:asciiTheme="minorHAnsi" w:hAnsiTheme="minorHAnsi" w:cs="Arial"/>
                <w:i/>
                <w:sz w:val="19"/>
                <w:szCs w:val="19"/>
              </w:rPr>
              <w:t>Póliza de caución a Primer requerimiento para Entidades Públicas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, se deberá remitir todos los anexos vinculados.</w:t>
            </w:r>
          </w:p>
        </w:tc>
      </w:tr>
      <w:tr w:rsidR="00081D95" w:rsidRPr="0064126B" w:rsidTr="008B222B">
        <w:trPr>
          <w:trHeight w:val="155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OBJETO DE LA GARANTÍA</w:t>
            </w:r>
          </w:p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i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(“Para Garantizar:”)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Debe consignar correctamente y de manera explícita, 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textual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y 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completa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: </w:t>
            </w:r>
          </w:p>
          <w:p w:rsidR="00081D95" w:rsidRPr="0064126B" w:rsidRDefault="00081D95" w:rsidP="00081D95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b/>
                <w:sz w:val="19"/>
                <w:szCs w:val="19"/>
              </w:rPr>
              <w:t>Objeto a garantizar (“Garantía según el objeto”)</w:t>
            </w:r>
            <w:r w:rsidRPr="0064126B">
              <w:rPr>
                <w:rStyle w:val="Refdenotaalpie"/>
                <w:rFonts w:asciiTheme="minorHAnsi" w:hAnsiTheme="minorHAnsi" w:cs="Arial"/>
                <w:b/>
                <w:sz w:val="19"/>
                <w:szCs w:val="19"/>
              </w:rPr>
              <w:footnoteReference w:id="1"/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conforme lo requerido en el anexo o acápite de Garantías Financieras. </w:t>
            </w:r>
          </w:p>
          <w:p w:rsidR="00081D95" w:rsidRPr="0064126B" w:rsidRDefault="00081D95" w:rsidP="00081D95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b/>
                <w:sz w:val="19"/>
                <w:szCs w:val="19"/>
              </w:rPr>
              <w:t xml:space="preserve">Nombre (Objeto de la Contratación) y/o código 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del proceso de contratación, conforme al registrado en la página web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  <w:p w:rsidR="00081D95" w:rsidRPr="0064126B" w:rsidRDefault="00081D95" w:rsidP="00081D95">
            <w:pPr>
              <w:spacing w:before="60" w:after="60"/>
              <w:ind w:left="360"/>
              <w:jc w:val="both"/>
              <w:rPr>
                <w:rFonts w:asciiTheme="minorHAnsi" w:hAnsiTheme="minorHAnsi" w:cs="Arial"/>
                <w:b/>
                <w:i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b/>
                <w:i/>
                <w:sz w:val="19"/>
                <w:szCs w:val="19"/>
              </w:rPr>
              <w:t>http://contrataciones.ypfb.gob.bo/contrataciones/publicacion</w:t>
            </w:r>
          </w:p>
        </w:tc>
      </w:tr>
      <w:tr w:rsidR="00081D95" w:rsidRPr="0064126B" w:rsidTr="008B222B">
        <w:trPr>
          <w:trHeight w:val="140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NOMBRE, RAZÓN SOCIAL O DENOMINACIÓN DEL ORDENANTE 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120" w:after="12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Debe consignar el nombre y tipo societario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conforme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se encuentre inscrito en el Registro (informático o documental) FUNDEMPRESA -o equivalente en el país de origen-. </w:t>
            </w:r>
          </w:p>
          <w:p w:rsidR="00081D95" w:rsidRPr="0064126B" w:rsidRDefault="00081D95" w:rsidP="00081D95">
            <w:pPr>
              <w:spacing w:before="120" w:after="12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Para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Asociaciones Accidentales,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podrá figurar el nombre de la Asociación Accidental o de una de las empresas que conforman la misma, concordante con su respectivo Registro FUNDEMPRESA.</w:t>
            </w:r>
          </w:p>
          <w:p w:rsidR="00081D95" w:rsidRPr="0064126B" w:rsidRDefault="00081D95" w:rsidP="00081D95">
            <w:pPr>
              <w:spacing w:before="120" w:after="12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Para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Empresas Unipersonales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, alternativamente podrá figurar el nombre del Contribuyente (NIT).</w:t>
            </w:r>
          </w:p>
        </w:tc>
      </w:tr>
      <w:tr w:rsidR="00081D95" w:rsidRPr="0064126B" w:rsidTr="008B222B">
        <w:trPr>
          <w:trHeight w:val="46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NOMBRE DEL BENEFICIARIO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>Debe consignar:</w:t>
            </w:r>
          </w:p>
          <w:p w:rsidR="00081D95" w:rsidRPr="0064126B" w:rsidRDefault="00081D95" w:rsidP="00081D95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YACIMIENTOS PETROLIFEROS FISCALES BOLIVIANOS; </w:t>
            </w:r>
            <w:r w:rsidRPr="0064126B">
              <w:rPr>
                <w:rFonts w:asciiTheme="minorHAnsi" w:hAnsiTheme="minorHAnsi"/>
                <w:i/>
                <w:sz w:val="19"/>
                <w:szCs w:val="19"/>
              </w:rPr>
              <w:t>YPFB; o ambos.</w:t>
            </w:r>
          </w:p>
        </w:tc>
      </w:tr>
      <w:tr w:rsidR="00081D95" w:rsidRPr="0064126B" w:rsidTr="008B222B">
        <w:trPr>
          <w:trHeight w:val="142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MONTO GARANTIZADO Y MONEDA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>Debe consignar el valor/importe/monto correctamente calculado conforme el anexo o acápite de Garantías Financieras, la “</w:t>
            </w:r>
            <w:r w:rsidRPr="0064126B">
              <w:rPr>
                <w:rFonts w:asciiTheme="minorHAnsi" w:hAnsiTheme="minorHAnsi" w:cs="Arial"/>
                <w:i/>
                <w:sz w:val="19"/>
                <w:szCs w:val="19"/>
              </w:rPr>
              <w:t>Garantía según el objeto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” y la moneda del proceso de contratación requerido en el DBC o DCD.</w:t>
            </w:r>
          </w:p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>Para adjudicación por ITEMS, LOTES, TRAMOS, PAQUETES, VOLÚMENES O ETAPAS, el “</w:t>
            </w:r>
            <w:r w:rsidRPr="0064126B">
              <w:rPr>
                <w:rFonts w:asciiTheme="minorHAnsi" w:hAnsiTheme="minorHAnsi" w:cs="Arial"/>
                <w:i/>
                <w:sz w:val="19"/>
                <w:szCs w:val="19"/>
              </w:rPr>
              <w:t>monto máximo de la contratación”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corresponderá al registrado en el acápite “P</w:t>
            </w:r>
            <w:r w:rsidRPr="0064126B">
              <w:rPr>
                <w:rFonts w:asciiTheme="minorHAnsi" w:hAnsiTheme="minorHAnsi" w:cs="Arial"/>
                <w:i/>
                <w:sz w:val="19"/>
                <w:szCs w:val="19"/>
              </w:rPr>
              <w:t>recio Referencial”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del DBC o DCD.</w:t>
            </w:r>
          </w:p>
        </w:tc>
      </w:tr>
      <w:tr w:rsidR="00081D95" w:rsidRPr="0064126B" w:rsidTr="008B222B">
        <w:trPr>
          <w:trHeight w:val="12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>VIGENCIA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Debe consignar una vigencia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igual o mayor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a la requerida en el Anexo o acápite de Garantías Financieras, </w:t>
            </w:r>
          </w:p>
          <w:p w:rsidR="00081D95" w:rsidRPr="0064126B" w:rsidRDefault="00081D95" w:rsidP="00081D95">
            <w:pPr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Para la Garantía de Seriedad de Propuesta: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mínimamente 150 días computables a partir de la “</w:t>
            </w:r>
            <w:r w:rsidRPr="0064126B">
              <w:rPr>
                <w:rFonts w:asciiTheme="minorHAnsi" w:hAnsiTheme="minorHAnsi" w:cs="Arial"/>
                <w:i/>
                <w:sz w:val="19"/>
                <w:szCs w:val="19"/>
              </w:rPr>
              <w:t>Fecha de presentación de propuestas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”, establecida en el Cronograma de Plazos del DBC. </w:t>
            </w:r>
          </w:p>
          <w:p w:rsidR="00081D95" w:rsidRPr="0064126B" w:rsidRDefault="00081D95" w:rsidP="00081D95">
            <w:pPr>
              <w:pStyle w:val="Prrafodelista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Para Garantía de Cumplimiento de Contrato y otras garantías (DS 29506 y DS 181):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según lo requerido,</w:t>
            </w:r>
            <w:r w:rsidRPr="0064126B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computables a partir de la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 xml:space="preserve">fecha de emisión del instrumento financiero, 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>debiendo exceder en sesenta (60) días calendario al plazo de entrega del objeto de la contratación.</w:t>
            </w:r>
          </w:p>
          <w:p w:rsidR="00081D95" w:rsidRPr="0064126B" w:rsidRDefault="00081D95" w:rsidP="00081D95">
            <w:pPr>
              <w:pStyle w:val="Prrafodelista"/>
              <w:spacing w:before="60" w:after="60"/>
              <w:ind w:left="36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>Vigencia de la Gtia. = fecha de emisión + Plazo de entrega + 60 días</w:t>
            </w:r>
          </w:p>
        </w:tc>
      </w:tr>
      <w:tr w:rsidR="00081D95" w:rsidRPr="0064126B" w:rsidTr="008B222B">
        <w:trPr>
          <w:trHeight w:val="4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D95" w:rsidRPr="0064126B" w:rsidRDefault="00081D95" w:rsidP="00081D95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64126B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CLÁUSULAS O CONDICIONES  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D95" w:rsidRPr="0064126B" w:rsidRDefault="00081D95" w:rsidP="00081D95">
            <w:p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>Debe incluir las cláusulas de:</w:t>
            </w:r>
          </w:p>
          <w:p w:rsidR="00081D95" w:rsidRPr="0064126B" w:rsidRDefault="00081D95" w:rsidP="00081D95">
            <w:pPr>
              <w:pStyle w:val="Prrafodelista"/>
              <w:numPr>
                <w:ilvl w:val="0"/>
                <w:numId w:val="34"/>
              </w:numPr>
              <w:spacing w:before="60" w:after="60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Renovable, irrevocable y de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ejecución inmediata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o </w:t>
            </w:r>
            <w:r w:rsidRPr="0064126B">
              <w:rPr>
                <w:rFonts w:asciiTheme="minorHAnsi" w:hAnsiTheme="minorHAnsi" w:cs="Arial"/>
                <w:sz w:val="19"/>
                <w:szCs w:val="19"/>
                <w:u w:val="single"/>
              </w:rPr>
              <w:t>ejecución a primer requerimiento</w:t>
            </w:r>
            <w:r w:rsidRPr="0064126B">
              <w:rPr>
                <w:rFonts w:asciiTheme="minorHAnsi" w:hAnsiTheme="minorHAnsi" w:cs="Arial"/>
                <w:sz w:val="19"/>
                <w:szCs w:val="19"/>
              </w:rPr>
              <w:t xml:space="preserve"> según corresponda al Instrumento Financiero requerido. </w:t>
            </w:r>
          </w:p>
        </w:tc>
      </w:tr>
    </w:tbl>
    <w:p w:rsidR="00081D95" w:rsidRPr="0064126B" w:rsidRDefault="00081D95" w:rsidP="00081D95">
      <w:pPr>
        <w:widowControl w:val="0"/>
        <w:jc w:val="both"/>
        <w:rPr>
          <w:rFonts w:asciiTheme="minorHAnsi" w:hAnsiTheme="minorHAnsi"/>
          <w:b/>
          <w:sz w:val="19"/>
          <w:szCs w:val="19"/>
          <w:u w:val="single"/>
        </w:rPr>
      </w:pPr>
      <w:r w:rsidRPr="0064126B">
        <w:rPr>
          <w:rFonts w:asciiTheme="minorHAnsi" w:hAnsiTheme="minorHAnsi"/>
          <w:b/>
          <w:sz w:val="19"/>
          <w:szCs w:val="19"/>
        </w:rPr>
        <w:t xml:space="preserve">NOTA: EL INCUMPLIMIENTO DE LOS PARAMETROS ESTABLECIDOS PRECEDENTEMENTE, POR PARTE DEL PROPONENTE O ADJUDICADO, </w:t>
      </w:r>
      <w:r w:rsidRPr="0064126B">
        <w:rPr>
          <w:rFonts w:asciiTheme="minorHAnsi" w:hAnsiTheme="minorHAnsi"/>
          <w:b/>
          <w:sz w:val="19"/>
          <w:szCs w:val="19"/>
          <w:u w:val="single"/>
        </w:rPr>
        <w:t>NO DARÁ LUGAR A SUBSANACION ALGUNA.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FACTURACIÓN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E44" w:rsidRPr="00A81E44" w:rsidRDefault="00A81E44" w:rsidP="00A81E4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A81E44" w:rsidRPr="00A81E44" w:rsidRDefault="00A81E44" w:rsidP="00A81E4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en el momento que finalice la ejecución o la prestación efectiva del servicio o a momento de percibir el pago total o parcial, lo que ocurra primero, sin deducir las multas ni otros cargos. </w:t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414904" w:rsidRPr="003102D7" w:rsidRDefault="00A81E44" w:rsidP="00A81E44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adjuntar a su propuesta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81E44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</w:tr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CDA" w:rsidRDefault="00A81E44" w:rsidP="00A81E4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A81E44" w:rsidRPr="00CE7CDA" w:rsidRDefault="00A81E44" w:rsidP="00A81E44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</w:tc>
      </w:tr>
      <w:tr w:rsidR="002262EA" w:rsidRPr="00340FB3" w:rsidTr="001C60B6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62EA" w:rsidRPr="001C60B6" w:rsidRDefault="001C60B6" w:rsidP="006970F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6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SEGUROS.</w:t>
            </w:r>
          </w:p>
        </w:tc>
      </w:tr>
      <w:tr w:rsidR="002262EA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C4" w:rsidRDefault="00C3488A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La empresa </w:t>
            </w:r>
            <w:r w:rsidR="001C20C4"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 adjudicada </w:t>
            </w:r>
            <w:r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, deberá </w:t>
            </w:r>
            <w:r w:rsidR="001C20C4"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 presentar y mantener vigente de forma ininterrumpida durante t</w:t>
            </w:r>
            <w:r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odo el periodo del contrato, la póliza de seguros especificada</w:t>
            </w:r>
            <w:r w:rsidR="001C20C4"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 a continuación:</w:t>
            </w:r>
          </w:p>
          <w:p w:rsidR="00250559" w:rsidRDefault="00250559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</w:p>
          <w:p w:rsidR="00250559" w:rsidRPr="00250559" w:rsidRDefault="00250559" w:rsidP="00250559">
            <w:pPr>
              <w:numPr>
                <w:ilvl w:val="0"/>
                <w:numId w:val="36"/>
              </w:numPr>
              <w:tabs>
                <w:tab w:val="clear" w:pos="720"/>
                <w:tab w:val="num" w:pos="351"/>
              </w:tabs>
              <w:ind w:left="351" w:hanging="284"/>
              <w:jc w:val="both"/>
              <w:rPr>
                <w:rFonts w:ascii="Calibri" w:hAnsi="Calibri"/>
                <w:b/>
                <w:color w:val="000000"/>
              </w:rPr>
            </w:pPr>
            <w:r w:rsidRPr="00250559">
              <w:rPr>
                <w:rFonts w:ascii="Calibri" w:hAnsi="Calibri"/>
                <w:b/>
                <w:color w:val="000000"/>
                <w:sz w:val="22"/>
                <w:szCs w:val="22"/>
              </w:rPr>
              <w:t>PÓLIZA DE ACCIDENTES PERSONALES.</w:t>
            </w:r>
          </w:p>
          <w:p w:rsidR="00250559" w:rsidRDefault="00250559" w:rsidP="00250559">
            <w:pPr>
              <w:tabs>
                <w:tab w:val="num" w:pos="492"/>
              </w:tabs>
              <w:spacing w:before="100" w:beforeAutospacing="1" w:after="100" w:afterAutospacing="1"/>
              <w:ind w:left="35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59">
              <w:rPr>
                <w:rFonts w:ascii="Calibri" w:hAnsi="Calibri"/>
                <w:color w:val="000000"/>
                <w:sz w:val="22"/>
                <w:szCs w:val="22"/>
              </w:rPr>
              <w:t xml:space="preserve">El adjudicado y sus dependientes, deberán estar cubiertos bajo el Seguro de Accidentes Personales (la Póliza deberá estar emitida por Entidad Aseguradora) que cubre gastos médicos, invalidez parcial permanente, invalidez total permanente y muerte, por lesiones corporales sufridos como consecuencia directa e inmediata de los accidentes que ocurran en el desempeño de su trabajo. </w:t>
            </w:r>
            <w:r w:rsidRPr="00250559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250559">
              <w:rPr>
                <w:rFonts w:ascii="Calibri" w:hAnsi="Calibri"/>
                <w:color w:val="000000"/>
                <w:sz w:val="22"/>
                <w:szCs w:val="22"/>
              </w:rPr>
              <w:br/>
              <w:t>La Póliza deberá estar a nombre del Adjudicado como contratante y sus empleados deberán figurar como asegurados.</w:t>
            </w:r>
          </w:p>
          <w:p w:rsidR="00250559" w:rsidRDefault="00250559" w:rsidP="00250559">
            <w:pPr>
              <w:tabs>
                <w:tab w:val="num" w:pos="492"/>
              </w:tabs>
              <w:spacing w:before="100" w:beforeAutospacing="1" w:after="100" w:afterAutospacing="1"/>
              <w:ind w:left="35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59">
              <w:rPr>
                <w:rFonts w:ascii="Calibri" w:hAnsi="Calibri"/>
                <w:color w:val="000000"/>
                <w:sz w:val="22"/>
                <w:szCs w:val="22"/>
              </w:rPr>
              <w:t>En sustitución a la Póliza de Accidentes personales o certificado de seguro opcionalmente pueden presentar el certificado de aportes mensual voluntario al seguro social a corto plazo o una caja de Salud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250559" w:rsidRPr="00250559" w:rsidRDefault="00250559" w:rsidP="00250559">
            <w:pPr>
              <w:numPr>
                <w:ilvl w:val="0"/>
                <w:numId w:val="36"/>
              </w:numPr>
              <w:tabs>
                <w:tab w:val="clear" w:pos="720"/>
                <w:tab w:val="num" w:pos="351"/>
              </w:tabs>
              <w:ind w:left="492" w:hanging="425"/>
              <w:jc w:val="both"/>
              <w:rPr>
                <w:rFonts w:ascii="Calibri" w:hAnsi="Calibri"/>
                <w:b/>
                <w:color w:val="000000"/>
              </w:rPr>
            </w:pPr>
            <w:r w:rsidRPr="00250559">
              <w:rPr>
                <w:rFonts w:ascii="Calibri" w:hAnsi="Calibri"/>
                <w:b/>
                <w:color w:val="000000"/>
              </w:rPr>
              <w:t xml:space="preserve">CONDICIONES ADICIONALES </w:t>
            </w:r>
          </w:p>
          <w:p w:rsidR="00250559" w:rsidRPr="00250559" w:rsidRDefault="00250559" w:rsidP="00250559">
            <w:pPr>
              <w:tabs>
                <w:tab w:val="num" w:pos="351"/>
              </w:tabs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="00250559" w:rsidRDefault="00250559" w:rsidP="00250559">
            <w:pPr>
              <w:tabs>
                <w:tab w:val="num" w:pos="492"/>
              </w:tabs>
              <w:ind w:left="35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559">
              <w:rPr>
                <w:rFonts w:ascii="Calibri" w:hAnsi="Calibri"/>
                <w:color w:val="000000"/>
                <w:sz w:val="22"/>
                <w:szCs w:val="22"/>
              </w:rPr>
              <w:t>De suspenderse por cualquier razón la vigencia o cobertura de la Póliza nominada precedentemente, o bien se presente la existencia de eventos no cubiertos por las misma; el adjudicado se hace enteramente responsable frente a YPFB por todos los accidentes que pueda sufrir y/o ocasionar en el desempeño de sus funciones.</w:t>
            </w:r>
          </w:p>
          <w:p w:rsidR="00250559" w:rsidRDefault="00250559" w:rsidP="00250559">
            <w:pPr>
              <w:tabs>
                <w:tab w:val="num" w:pos="492"/>
              </w:tabs>
              <w:ind w:left="35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250559" w:rsidRDefault="00250559" w:rsidP="00250559">
            <w:pPr>
              <w:tabs>
                <w:tab w:val="num" w:pos="492"/>
              </w:tabs>
              <w:ind w:left="351"/>
              <w:jc w:val="both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250559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El adjudicado, deberá entregar copia de la citada póliza a YPFB antes de la suscripción del contrato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</w:p>
          <w:p w:rsidR="00250559" w:rsidRPr="00250559" w:rsidRDefault="00250559" w:rsidP="00250559">
            <w:pPr>
              <w:tabs>
                <w:tab w:val="num" w:pos="492"/>
              </w:tabs>
              <w:ind w:left="351"/>
              <w:jc w:val="both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</w:tc>
      </w:tr>
      <w:tr w:rsidR="00796DFD" w:rsidRPr="00340FB3" w:rsidTr="00954D8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96DFD" w:rsidRPr="00423E80" w:rsidRDefault="00796DFD" w:rsidP="00796DFD">
            <w:pPr>
              <w:pStyle w:val="Textoindependiente"/>
              <w:spacing w:after="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SEGURIDAD Y SALUD OCUPACIONAL.</w:t>
            </w:r>
          </w:p>
        </w:tc>
      </w:tr>
      <w:tr w:rsidR="00796DFD" w:rsidRPr="006F4488" w:rsidTr="001B7C49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DFD" w:rsidRPr="00423E80" w:rsidRDefault="00796DFD" w:rsidP="00796DFD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bookmarkStart w:id="1" w:name="_Toc455148469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ASPECTOS DE SEGURIDAD Y SALUD OCUPACIONAL</w:t>
            </w:r>
            <w:bookmarkEnd w:id="1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Posterior a la adjudicación y antes del inicio de las actividades,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la Empresa Contratada deberá presentar el siguiente documento para la aprobación de la Dirección de SMS de YPFB: </w:t>
            </w:r>
          </w:p>
          <w:p w:rsidR="00796DFD" w:rsidRPr="00423E80" w:rsidRDefault="00796DFD" w:rsidP="00796DFD">
            <w:pPr>
              <w:pStyle w:val="Prrafodelista"/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     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Declaración jurada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“Compromiso de SMS” para Cumplimiento de los Requisitos de Seguridad Industrial, Salud Ocupacional y Medio Ambiente para contratistas de YPFB Corporación. </w:t>
            </w: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Deberá presentar la “Declaración Jurada” debidamente firmada por el representante legal de la empresa, adjuntando la fotocopia firmada del documento de identificación (pasaporte/CI). </w:t>
            </w:r>
          </w:p>
          <w:p w:rsidR="00796DFD" w:rsidRPr="00423E80" w:rsidRDefault="00796DFD" w:rsidP="00796DFD">
            <w:pPr>
              <w:ind w:left="426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Posterior a ser Contratada la empresa y Antes del inicio de las actividades: </w:t>
            </w:r>
          </w:p>
          <w:p w:rsidR="00796DFD" w:rsidRPr="00423E80" w:rsidRDefault="00796DFD" w:rsidP="00796DFD">
            <w:pPr>
              <w:pStyle w:val="Prrafodelista"/>
              <w:ind w:left="72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4D4C00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 deberá cumplir de forma obligatoria con los estándares de Seguridad Industrial y Salud Ocupacional: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ApendiceA"/>
              <w:numPr>
                <w:ilvl w:val="0"/>
                <w:numId w:val="0"/>
              </w:numPr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</w:pPr>
            <w:r w:rsidRPr="00423E80"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  <w:t>Estándares y requisitos de SYSO para Contratistas de YPFB Corporación.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 xml:space="preserve">La empresa Contratista, deberá garantizar el cumplimiento de los requisitos y estándares de Seguridad descritos en el </w:t>
            </w:r>
            <w:r w:rsidRPr="00423E80">
              <w:rPr>
                <w:rFonts w:ascii="Calibri" w:hAnsi="Calibri"/>
                <w:b/>
                <w:iCs/>
                <w:color w:val="000000"/>
              </w:rPr>
              <w:t>Anexo: “REQUISITOS DE SEGURIDAD INDUSTRIAL PARA CONTRATISTAS”</w:t>
            </w:r>
            <w:r w:rsidRPr="00423E80">
              <w:rPr>
                <w:rFonts w:ascii="Calibri" w:hAnsi="Calibri"/>
                <w:iCs/>
                <w:color w:val="000000"/>
              </w:rPr>
              <w:t xml:space="preserve">, documento elaborado conforme a políticas internas de YPFB y en estricto cumplimiento de la normativa legal vigente (D.L. 16998). 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>Los requisitos de SYSO son aplicables en base al Análisis Preliminar de Peligros y Riegos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Default="00796DFD" w:rsidP="00796DFD">
            <w:pPr>
              <w:pStyle w:val="Ttulo2"/>
              <w:numPr>
                <w:ilvl w:val="0"/>
                <w:numId w:val="21"/>
              </w:numPr>
              <w:spacing w:before="0" w:after="0"/>
              <w:jc w:val="both"/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</w:pPr>
            <w:bookmarkStart w:id="2" w:name="_Toc455148470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>Aspectos Generales:</w:t>
            </w:r>
            <w:bookmarkEnd w:id="2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:rsidR="00250559" w:rsidRPr="00250559" w:rsidRDefault="00250559" w:rsidP="00250559"/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Contratada, deberá presentar un 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Resumen Ejecutivo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3.1  Medidas preventivas en Seguridad, Salud Ocupacional (prevención de accidentes)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3.2  Uso de EPP (Equipo de Protección Personal, de acuerdo a las actividades específicas)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3.3  Identificación y evaluación de riesgos e impactos en el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3.4 Lista general de Procedimientos de trabajo (altura, eléctrico, espacios confinados, etc.) según corresponda.</w:t>
            </w:r>
          </w:p>
          <w:p w:rsidR="00796DFD" w:rsidRPr="00423E80" w:rsidRDefault="00796DFD" w:rsidP="00796DFD">
            <w:pPr>
              <w:ind w:left="36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3.5  Política de Seguridad, Salud Ocupacional y Medio Ambiente (En caso de que la empresa cuente con un sistema de Gestión de SySO)</w:t>
            </w:r>
          </w:p>
          <w:p w:rsidR="00796DFD" w:rsidRPr="00423E80" w:rsidRDefault="00796DFD" w:rsidP="00664352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Documentos para aprobación de YPFB (Unidad de SMS – Unidad solicitante) </w:t>
            </w:r>
          </w:p>
          <w:p w:rsidR="00250559" w:rsidRPr="00423E80" w:rsidRDefault="00250559" w:rsidP="00250559">
            <w:pPr>
              <w:pStyle w:val="Prrafodelista"/>
              <w:ind w:left="72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presentar en documentos oficiales para aprobación de YPFB los siguientes Requisitos de SMS, de acuerdo a las actividades del Servicio: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4.1 Programa o Plan de Seguridad, Salud Ocupacional y Medio Ambiente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4.2 Política y programas de control de Alcohol y drogas.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4.3  Programa de capacitación y charlas de seguridad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4.4 Procedimientos específicos de Seguridad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4.5 Plan de respuesta ante Emergencias (Para el Servicio).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4.6 Plan Médico de Evacuación (MEDEVAC)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4.7 Programa de retiro y disposición de los residuos originados en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Antes del inicio de actividades, la empresa contratada debe cumplir con los siguientes requisitos de SMS:</w:t>
            </w:r>
          </w:p>
          <w:p w:rsidR="00250559" w:rsidRPr="00423E80" w:rsidRDefault="00250559" w:rsidP="00250559">
            <w:pPr>
              <w:pStyle w:val="Prrafodelista"/>
              <w:ind w:left="72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5.1 Nómina (nombre completo y cédula de identidad) del personal a cargo de los trabajos 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5.2 Nota formal de la empresa a YPFB designando al supervisor de SMS para el Servicio.  (Incluir el Curriculum Vitae no documentado)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5.3 Seguro médico.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5.4 Pólizas contra accidentes personales y Seguro de Vida ( por 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5.5 Uso obligatorio de Ropa de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5.6 Uso de señalética en el área o frentes de trabajo.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 Uso obligatorio de EPP (Equipo de protección personal)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5.7.1.  Casco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5.7.2.  Lentes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5.7.3.  Botín / Bota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5.7.4.  Guantes (de acuerdo a las actividades a desarrollar)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5.7.5.  Protector auditivo (en caso de requerirse en la actividad)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firstLine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EPP Para riesgos especiales (según Corresponda)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5.7.6.   Trabajos en altura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5.7.7.   Trabajos eléctricos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5.7.8.   Trabajos en espacios confinados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5.7.9.   Trabajos en zanja abierta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5.7.10. Trabajos con cargas suspendidas</w:t>
            </w:r>
          </w:p>
          <w:p w:rsidR="00796DFD" w:rsidRPr="00423E80" w:rsidRDefault="00796DFD" w:rsidP="00796DFD">
            <w:pPr>
              <w:ind w:left="108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5.7.11. Trabajos con materiales peligrosos</w:t>
            </w:r>
          </w:p>
          <w:p w:rsidR="00796DFD" w:rsidRPr="00423E80" w:rsidRDefault="00796DFD" w:rsidP="00796DFD">
            <w:pPr>
              <w:pStyle w:val="Prrafodelista"/>
              <w:ind w:left="72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Toda Empresa Contratista 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  <w:u w:val="single"/>
              </w:rPr>
              <w:t>directa de YPFB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, que subcontrate servicios de un tercero, deberá cumplir y hacer cumplir los Requisitos de Seguridad Industrial, Salud Ocupacional y Medio Ambiente,  remitiendo a YPFB la documentación correspondiente a los requisitos SMS para garantizar la correcta ejecución del Servicio, en el marco de cumplimiento de la normativa legal vigente aplicable al contrato de dicho Servicio.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Se deja claramente establecido la prohibición total y definitiva de ingreso a ejecución de trabajos con pasantes y/o practicantes de la contratista y/o sub contratista en proyectos de YPFB. </w:t>
            </w:r>
          </w:p>
          <w:p w:rsidR="00796DFD" w:rsidRPr="00423E80" w:rsidRDefault="00796DFD" w:rsidP="00796DFD">
            <w:pPr>
              <w:pStyle w:val="ApendiceA2"/>
              <w:numPr>
                <w:ilvl w:val="0"/>
                <w:numId w:val="21"/>
              </w:numPr>
              <w:contextualSpacing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>YPFB Corporación se reserva el derecho de solicitar nuevos requisitos de SYSO   que sean necesarios para garantizar la correcta ejecución de la actividad, cuyo objetivo es prevenir accidentes e incidentes. vigente en materia de SYSO y los aspectos normativos y regulatorios de YPFB Corporación.</w:t>
            </w:r>
          </w:p>
          <w:p w:rsidR="00796DFD" w:rsidRPr="00423E80" w:rsidRDefault="00796DFD" w:rsidP="00796DFD">
            <w:pPr>
              <w:pStyle w:val="ApendiceA2"/>
              <w:ind w:left="720"/>
              <w:contextualSpacing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Entre los requisitos mínimos que la empresa contratista deberá cumplir para la habilitación de su personal para ingreso a Plantas están: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Ropa de trabajo (pantalón jean y camisa manga larga, mínimamente 80% algodón), casco de seguridad, botas de seguridad, gafas de seguridad y protector auditivo.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vida y Seguro contra accidentes personales (</w:t>
            </w:r>
            <w:r w:rsidR="007232DA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Vacunas vigentes.</w:t>
            </w:r>
          </w:p>
          <w:tbl>
            <w:tblPr>
              <w:tblW w:w="1701" w:type="dxa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796DFD" w:rsidRPr="00423E80" w:rsidTr="001C0684">
              <w:trPr>
                <w:trHeight w:val="248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Tétanos.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Amarilla.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Hepatitis B.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Tifoidea.</w:t>
                  </w:r>
                </w:p>
              </w:tc>
            </w:tr>
          </w:tbl>
          <w:p w:rsidR="00796DFD" w:rsidRPr="00423E80" w:rsidRDefault="00796DFD" w:rsidP="00796DFD">
            <w:pPr>
              <w:numPr>
                <w:ilvl w:val="0"/>
                <w:numId w:val="23"/>
              </w:numPr>
              <w:ind w:left="567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Capacitaciones y/o cursos.</w:t>
            </w:r>
          </w:p>
          <w:tbl>
            <w:tblPr>
              <w:tblW w:w="0" w:type="auto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796DFD" w:rsidRPr="00423E80" w:rsidTr="001C0684">
              <w:trPr>
                <w:trHeight w:val="248"/>
              </w:trPr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Combate y control de incendios.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Solo para contratistas que realicen actividades que requieran estos cursos.</w:t>
                  </w:r>
                </w:p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Equipo de protección personal.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Comunicación de peligros.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Primeros auxilios.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Nota: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Todos los contratistas deben pasar la inducción de ingreso a Plantas y tener claramente identificados los riesgos de su actividad.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 caso de ser requerido el ingreso de vehículos livianos a Plantas, la empresa contratista deberá asegurar que el vehículo cuente con los siguientes requisitos mínimos para su habilitación previo al ingreso: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Antigüedad no mayor a 5 a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ños para vehículo liviano, de 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años para camiones.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accidente vehicular.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por empresa certificada (Petrovisa, Ibnorca, etc.)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vehicular realizada por la Dirección de Transito de la Policía Boliviana.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 obligatoriamente estar identificado.</w:t>
            </w:r>
          </w:p>
          <w:p w:rsidR="00796DFD" w:rsidRPr="00423E80" w:rsidRDefault="00796DFD" w:rsidP="00796DFD">
            <w:pPr>
              <w:numPr>
                <w:ilvl w:val="0"/>
                <w:numId w:val="24"/>
              </w:num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Estar equipados mínimamente con 2 extintores de polvo químico seco tipo ABC de capacidad mínima de 6 kg. en caso de vehículo semi pesados y pesados y en caso de vehículo liviano 1 extintor de polvo químico seco tipo ABC de capacidad mínima de 2 kg.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Disponer de 2 triángulos de emergencia como mínimo.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Tener alarmas audibles de retroceso necesariamente.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Deberá contar con arrestallamas para ingresar a la Planta.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Además el conductor del vehículo deberá presentar previo a su ingreso a la Planta: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Licencia de conducir vigente de acuerdo al tipo de vehículo que utilizara el proveedor.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Contar con certificado de manejo defensivo vigente.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inspección de vehículos y equipos será realizada por la empresa contratista y validada por personal de SMS de YPFB para garantizar que los mismos estén en buenas condiciones mecánicas y técnicas de funcionamiento previo el ingreso a la Planta. </w:t>
            </w:r>
          </w:p>
        </w:tc>
      </w:tr>
    </w:tbl>
    <w:p w:rsidR="008B5AEE" w:rsidRPr="008B5AEE" w:rsidRDefault="008B5AEE" w:rsidP="00DD0DF7">
      <w:pPr>
        <w:ind w:right="283"/>
        <w:jc w:val="right"/>
        <w:rPr>
          <w:rFonts w:ascii="Calibri" w:hAnsi="Calibri"/>
          <w:iCs/>
          <w:color w:val="000000"/>
          <w:sz w:val="22"/>
          <w:szCs w:val="22"/>
        </w:rPr>
      </w:pPr>
    </w:p>
    <w:sectPr w:rsidR="008B5AEE" w:rsidRPr="008B5AEE" w:rsidSect="008B5AEE">
      <w:pgSz w:w="12242" w:h="15842" w:code="1"/>
      <w:pgMar w:top="1417" w:right="902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D0" w:rsidRDefault="00C60FD0" w:rsidP="00C60FD0">
      <w:r>
        <w:separator/>
      </w:r>
    </w:p>
  </w:endnote>
  <w:endnote w:type="continuationSeparator" w:id="0">
    <w:p w:rsidR="00C60FD0" w:rsidRDefault="00C60FD0" w:rsidP="00C6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D0" w:rsidRDefault="00C60FD0" w:rsidP="00C60FD0">
      <w:r>
        <w:separator/>
      </w:r>
    </w:p>
  </w:footnote>
  <w:footnote w:type="continuationSeparator" w:id="0">
    <w:p w:rsidR="00C60FD0" w:rsidRDefault="00C60FD0" w:rsidP="00C60FD0">
      <w:r>
        <w:continuationSeparator/>
      </w:r>
    </w:p>
  </w:footnote>
  <w:footnote w:id="1">
    <w:p w:rsidR="00081D95" w:rsidRDefault="00081D95" w:rsidP="00081D95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CDE"/>
    <w:multiLevelType w:val="multilevel"/>
    <w:tmpl w:val="8998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C3683"/>
    <w:multiLevelType w:val="hybridMultilevel"/>
    <w:tmpl w:val="66E24BE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C24BEF"/>
    <w:multiLevelType w:val="hybridMultilevel"/>
    <w:tmpl w:val="BF442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1636"/>
    <w:multiLevelType w:val="hybridMultilevel"/>
    <w:tmpl w:val="881E7922"/>
    <w:lvl w:ilvl="0" w:tplc="889080B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5E16F5"/>
    <w:multiLevelType w:val="multilevel"/>
    <w:tmpl w:val="27C0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>
    <w:nsid w:val="25305F5E"/>
    <w:multiLevelType w:val="multilevel"/>
    <w:tmpl w:val="AEE07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87A7B2B"/>
    <w:multiLevelType w:val="hybridMultilevel"/>
    <w:tmpl w:val="CFB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07236"/>
    <w:multiLevelType w:val="multilevel"/>
    <w:tmpl w:val="A7B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B7F5A"/>
    <w:multiLevelType w:val="hybridMultilevel"/>
    <w:tmpl w:val="52B6884A"/>
    <w:lvl w:ilvl="0" w:tplc="23CC929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A5FFD"/>
    <w:multiLevelType w:val="hybridMultilevel"/>
    <w:tmpl w:val="D2C8BB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1E052F"/>
    <w:multiLevelType w:val="hybridMultilevel"/>
    <w:tmpl w:val="03C88A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445B"/>
    <w:multiLevelType w:val="hybridMultilevel"/>
    <w:tmpl w:val="2472A7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0C2FB1"/>
    <w:multiLevelType w:val="hybridMultilevel"/>
    <w:tmpl w:val="475E5776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C06B9"/>
    <w:multiLevelType w:val="hybridMultilevel"/>
    <w:tmpl w:val="C9E8754A"/>
    <w:lvl w:ilvl="0" w:tplc="40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9">
    <w:nsid w:val="57953512"/>
    <w:multiLevelType w:val="hybridMultilevel"/>
    <w:tmpl w:val="5A80545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D06687F"/>
    <w:multiLevelType w:val="hybridMultilevel"/>
    <w:tmpl w:val="2E1C7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17BF8"/>
    <w:multiLevelType w:val="multilevel"/>
    <w:tmpl w:val="3FA407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5053FF9"/>
    <w:multiLevelType w:val="hybridMultilevel"/>
    <w:tmpl w:val="91423C36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2D6E6B"/>
    <w:multiLevelType w:val="hybridMultilevel"/>
    <w:tmpl w:val="85521C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6315D"/>
    <w:multiLevelType w:val="hybridMultilevel"/>
    <w:tmpl w:val="6BE0D69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8474A"/>
    <w:multiLevelType w:val="hybridMultilevel"/>
    <w:tmpl w:val="970A0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51D03"/>
    <w:multiLevelType w:val="hybridMultilevel"/>
    <w:tmpl w:val="5B50686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7597756E"/>
    <w:multiLevelType w:val="hybridMultilevel"/>
    <w:tmpl w:val="E86AC7A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3E5075"/>
    <w:multiLevelType w:val="hybridMultilevel"/>
    <w:tmpl w:val="B856402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EC65001"/>
    <w:multiLevelType w:val="hybridMultilevel"/>
    <w:tmpl w:val="A15CDFC6"/>
    <w:lvl w:ilvl="0" w:tplc="A2925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9"/>
  </w:num>
  <w:num w:numId="4">
    <w:abstractNumId w:val="23"/>
  </w:num>
  <w:num w:numId="5">
    <w:abstractNumId w:val="20"/>
  </w:num>
  <w:num w:numId="6">
    <w:abstractNumId w:val="31"/>
  </w:num>
  <w:num w:numId="7">
    <w:abstractNumId w:val="10"/>
  </w:num>
  <w:num w:numId="8">
    <w:abstractNumId w:val="33"/>
  </w:num>
  <w:num w:numId="9">
    <w:abstractNumId w:val="13"/>
  </w:num>
  <w:num w:numId="10">
    <w:abstractNumId w:val="29"/>
  </w:num>
  <w:num w:numId="11">
    <w:abstractNumId w:val="26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7"/>
  </w:num>
  <w:num w:numId="17">
    <w:abstractNumId w:val="28"/>
  </w:num>
  <w:num w:numId="18">
    <w:abstractNumId w:val="9"/>
  </w:num>
  <w:num w:numId="19">
    <w:abstractNumId w:val="17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8"/>
  </w:num>
  <w:num w:numId="24">
    <w:abstractNumId w:val="30"/>
  </w:num>
  <w:num w:numId="25">
    <w:abstractNumId w:val="32"/>
  </w:num>
  <w:num w:numId="26">
    <w:abstractNumId w:val="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 w:numId="32">
    <w:abstractNumId w:val="24"/>
  </w:num>
  <w:num w:numId="33">
    <w:abstractNumId w:val="2"/>
  </w:num>
  <w:num w:numId="34">
    <w:abstractNumId w:val="11"/>
  </w:num>
  <w:num w:numId="35">
    <w:abstractNumId w:val="1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60"/>
    <w:rsid w:val="000142C2"/>
    <w:rsid w:val="0005377A"/>
    <w:rsid w:val="00081D95"/>
    <w:rsid w:val="000B4219"/>
    <w:rsid w:val="000D1057"/>
    <w:rsid w:val="00122380"/>
    <w:rsid w:val="00174481"/>
    <w:rsid w:val="001C20C4"/>
    <w:rsid w:val="001C60B6"/>
    <w:rsid w:val="001E26A7"/>
    <w:rsid w:val="00221B9C"/>
    <w:rsid w:val="002262EA"/>
    <w:rsid w:val="0022695C"/>
    <w:rsid w:val="00250559"/>
    <w:rsid w:val="002C2F4D"/>
    <w:rsid w:val="002D0AF2"/>
    <w:rsid w:val="002F126B"/>
    <w:rsid w:val="003102D7"/>
    <w:rsid w:val="0031585D"/>
    <w:rsid w:val="00316A20"/>
    <w:rsid w:val="00347B33"/>
    <w:rsid w:val="00355658"/>
    <w:rsid w:val="0037070A"/>
    <w:rsid w:val="003B4997"/>
    <w:rsid w:val="003E6E52"/>
    <w:rsid w:val="00410E54"/>
    <w:rsid w:val="004137F8"/>
    <w:rsid w:val="00414904"/>
    <w:rsid w:val="004348E0"/>
    <w:rsid w:val="004369C6"/>
    <w:rsid w:val="00493DA3"/>
    <w:rsid w:val="004967F7"/>
    <w:rsid w:val="004B3D78"/>
    <w:rsid w:val="004D4C00"/>
    <w:rsid w:val="0054015F"/>
    <w:rsid w:val="00542A4F"/>
    <w:rsid w:val="005750B8"/>
    <w:rsid w:val="00576301"/>
    <w:rsid w:val="005818B2"/>
    <w:rsid w:val="005E5300"/>
    <w:rsid w:val="00653D86"/>
    <w:rsid w:val="006636DD"/>
    <w:rsid w:val="00664352"/>
    <w:rsid w:val="006970FD"/>
    <w:rsid w:val="006D7958"/>
    <w:rsid w:val="007232DA"/>
    <w:rsid w:val="00796DFD"/>
    <w:rsid w:val="008004EB"/>
    <w:rsid w:val="00882844"/>
    <w:rsid w:val="008953ED"/>
    <w:rsid w:val="008B5AEE"/>
    <w:rsid w:val="008E46C5"/>
    <w:rsid w:val="0093748A"/>
    <w:rsid w:val="00997E18"/>
    <w:rsid w:val="009C4BC9"/>
    <w:rsid w:val="009C5389"/>
    <w:rsid w:val="009F64CD"/>
    <w:rsid w:val="00A56B94"/>
    <w:rsid w:val="00A63B2D"/>
    <w:rsid w:val="00A81E44"/>
    <w:rsid w:val="00A827C2"/>
    <w:rsid w:val="00AB112A"/>
    <w:rsid w:val="00AF718D"/>
    <w:rsid w:val="00B1676D"/>
    <w:rsid w:val="00B25840"/>
    <w:rsid w:val="00B34A60"/>
    <w:rsid w:val="00B40B39"/>
    <w:rsid w:val="00B50130"/>
    <w:rsid w:val="00C1586B"/>
    <w:rsid w:val="00C3488A"/>
    <w:rsid w:val="00C36795"/>
    <w:rsid w:val="00C438FB"/>
    <w:rsid w:val="00C60FD0"/>
    <w:rsid w:val="00C73004"/>
    <w:rsid w:val="00CD2190"/>
    <w:rsid w:val="00CE7CDA"/>
    <w:rsid w:val="00D202E8"/>
    <w:rsid w:val="00DC42F2"/>
    <w:rsid w:val="00DD0DF7"/>
    <w:rsid w:val="00DE67D9"/>
    <w:rsid w:val="00E15A70"/>
    <w:rsid w:val="00F004ED"/>
    <w:rsid w:val="00F442DC"/>
    <w:rsid w:val="00F514F3"/>
    <w:rsid w:val="00F601EF"/>
    <w:rsid w:val="00F93F42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7D1F44-02C3-4464-AD7E-A21A49F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96D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B34A60"/>
    <w:pPr>
      <w:ind w:left="708"/>
    </w:pPr>
  </w:style>
  <w:style w:type="character" w:customStyle="1" w:styleId="PrrafodelistaCar">
    <w:name w:val="Párrafo de lista Car"/>
    <w:aliases w:val="본문1 Car,titulo 5 Car,PARRAFO Car"/>
    <w:link w:val="Prrafodelista"/>
    <w:uiPriority w:val="34"/>
    <w:rsid w:val="00B34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60B6"/>
    <w:rPr>
      <w:rFonts w:eastAsiaTheme="minorHAnsi"/>
      <w:lang w:val="es-BO" w:eastAsia="es-BO"/>
    </w:rPr>
  </w:style>
  <w:style w:type="character" w:styleId="nfasis">
    <w:name w:val="Emphasis"/>
    <w:basedOn w:val="Fuentedeprrafopredeter"/>
    <w:uiPriority w:val="20"/>
    <w:qFormat/>
    <w:rsid w:val="001C60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7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796D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796DFD"/>
    <w:pPr>
      <w:spacing w:after="120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DF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796DFD"/>
    <w:pPr>
      <w:numPr>
        <w:numId w:val="20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796DFD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796DF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796DFD"/>
    <w:rPr>
      <w:rFonts w:ascii="Arial" w:eastAsia="Times New Roman" w:hAnsi="Arial" w:cs="Times New Roman"/>
      <w:lang w:val="es-ES" w:eastAsia="es-ES"/>
    </w:rPr>
  </w:style>
  <w:style w:type="character" w:customStyle="1" w:styleId="DefaultCar">
    <w:name w:val="Default Car"/>
    <w:basedOn w:val="Fuentedeprrafopredeter"/>
    <w:link w:val="Default"/>
    <w:locked/>
    <w:rsid w:val="00542A4F"/>
    <w:rPr>
      <w:rFonts w:ascii="Calibri" w:hAnsi="Calibri"/>
      <w:color w:val="000000"/>
    </w:rPr>
  </w:style>
  <w:style w:type="paragraph" w:customStyle="1" w:styleId="Default">
    <w:name w:val="Default"/>
    <w:basedOn w:val="Normal"/>
    <w:link w:val="DefaultCar"/>
    <w:rsid w:val="00542A4F"/>
    <w:pPr>
      <w:autoSpaceDE w:val="0"/>
      <w:autoSpaceDN w:val="0"/>
    </w:pPr>
    <w:rPr>
      <w:rFonts w:ascii="Calibri" w:eastAsiaTheme="minorHAnsi" w:hAnsi="Calibri" w:cstheme="minorBidi"/>
      <w:color w:val="000000"/>
      <w:sz w:val="22"/>
      <w:szCs w:val="22"/>
      <w:lang w:val="es-BO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C60FD0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60FD0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60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1C30-B4BF-4876-BA75-A762E35C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2664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 Rene Calderon Llanos</dc:creator>
  <cp:keywords/>
  <dc:description/>
  <cp:lastModifiedBy>Madrid Carolay Galarza Miranda</cp:lastModifiedBy>
  <cp:revision>7</cp:revision>
  <cp:lastPrinted>2018-10-05T15:37:00Z</cp:lastPrinted>
  <dcterms:created xsi:type="dcterms:W3CDTF">2019-05-06T20:42:00Z</dcterms:created>
  <dcterms:modified xsi:type="dcterms:W3CDTF">2019-05-06T20:19:00Z</dcterms:modified>
</cp:coreProperties>
</file>