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de cero alcohol,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Circulación en vehículos a velocidad máxima de 80 km/hr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hidrocarburífera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6. Requerimos que nuestros contratistas gerencien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Km/hr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lastRenderedPageBreak/>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km/hr.</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lastRenderedPageBreak/>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izaje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hrs. y terminar a las 18:30 hrs.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camps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El contratista tiene la obligación de enviar de manera mensual la información de Salud y Seguridad del mes (Hrs.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izaje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diesel,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overall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portagafa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portagafa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Puede utilizarse también las gafas para todo ambiente (fotocromática)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Personal que utiliza lentes con prescripción médica de estas características, debe usar lentes según la norma ANSI Z-87 o protección encima de las mismas antiparras (goggles).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fileteadores-catering)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por ejemplo, zapatos de seguridad para trabajos en ambientes fríos los cuales tienen una protección contra el frío (insulados).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sopletearse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reflectivos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reflectivas en el chaleco para una localización rápida. Conforme al requisito del procedimiento y del permiso de trabajo respectivo, se considera el uso de chalecos toda vez que se trabaja cerca (hasta 1 mt. de distancia) o en fuentes donde el nivel de profundidad del agua (liquido) sea superior a 0,50 mts.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tyvek son utilizados para limpieza de derrames, ingreso a espacios confinados. En algunos casos se podrá requerir ropa con capacidad retardante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Es requisito que la empresa contratista cuente con el stock respectivo de EPP para la dotación inicial. Se recomienda mantener un stock mínimo de EPP equivalente al 30% del total de la cantidad de personas que están trabajando en el sitio. Esto también aplica para los EPP’s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explosímetro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ó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mts se considerará como trabajo en o a diferente nivel, requiriendo que todo el personal cercano al borde de la zanja (radio de 1 mts)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Queda terminantemente prohibido el pararse o ubicarse en los bordes de zanjas o excavaciones pues existe el potencial de colapsamiento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pulg.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mts y 1,10 mts.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switches, palancas, etc. (las válvulas check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Toda actividad de trabajo en tableros eléctricos, limpieza de ductos (chancheo),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explosímetro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Fanexa.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arenadora (goma) hasta objetos aterrados y aislados, por lo tanto se debe tener extremo cuidado que no exista una atmósfera inflamable en el sitio, asimismo, es mandatorio la utilización de un Control de Hombre Muerto “Death man control device”,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El concepto de vehículo comprende: autos, camionetas, vagonetas, cisternas, buses, micros, trufis,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 aceptable la utilización de vehículos del tipo “Transformer”,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las carreteras asfaltadas 80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y carreteras ripiadas 60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de tierra 40 Km/Hr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el Derecho de vía 30 Km/Hr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hrs. hasta las 19:00 hrs.,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reflectivos.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Semi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trailer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(ej: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reflectivas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reflectivas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Semi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Semi-pesados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mm.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Kgs.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mm. de ancho y 440 mm.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mts.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w:t>
      </w:r>
      <w:r w:rsidRPr="00CC3073">
        <w:rPr>
          <w:rFonts w:asciiTheme="majorHAnsi" w:hAnsiTheme="majorHAnsi"/>
          <w:color w:val="auto"/>
          <w:sz w:val="18"/>
          <w:szCs w:val="18"/>
        </w:rPr>
        <w:lastRenderedPageBreak/>
        <w:t xml:space="preserve">el neutral. El punto estrella del generador debe ser aterrado usando una varilla de cobre de 3 metros de largo y 20 mm de diámetro. La resistencia en la tierra debe ser de 25 ohms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Todos los paneles de distribución deben ser totalmente cerrados, los circuitos adecuadamente protegidos por interruptores (breakers)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motosoldadores etc. deben disponer de circuitos diferenciados de protección (conocidos como GFCI Ground Fault Circuit Interruptor) con una capacidad de aislamiento de 30 mili amperes y un programa de aterramientos con resistividad menor a los 25 ohms,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cepilladoras,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anticorte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oxiacetileno deben tener válvulas de retención aprobadas por el fabricante (arrestadores de llama- flashback arrestor)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descalibrados,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motosoldadora,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motosoldador deba ser movilizado por áreas de circulación urbana y carreteras, debe disponer de letreros, luces, señalización y la conexión al vehículo aprobada y con su seguro (pasador) y cadena antichoque.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motosoldadores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reflectivos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f) Rombo identificativo de la NFPA (National Fire Protection Association).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h) Material para derrames, consistente en paños absorbentes, material absorbentes de hidrocarburos (peat sorb, por ejemplo) y geomembrana.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geomembrana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mts.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rompe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mm. (16 pulg.)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antideslizable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peat sorb o aserrín, pala, plástico o geomembrana, traje protector de tyvek,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lbs. de polvo químico seco tipo BC o extintor de 30 lbs.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mts)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Chancheo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deben estar claramente etiquetados con el nombre del gas y la identificación de la NFPA (National Fire Protection Association.)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arrestor).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hidrogrúas,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izaje (hidrogrúas, grúas, trípodes, plumas, extensiones, sideboom,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izaje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izaje, previo al izaje o movimiento de cargas es mandataria la realización de un diagrama de cargas (plan de izaje).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izaje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operabilidad.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Al parar un equipo pesado (sideboom,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desenergizar).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(kV)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de equipo pesado de un punto a otro deberá realizarse utilizando el transporte adecuado para ese fin (low boy).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izaje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mts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sidebooms,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bookmarkStart w:id="0" w:name="_GoBack"/>
      <w:bookmarkEnd w:id="0"/>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Remoción de cuerpos extraños (no incrustados) de los ojos u otra parte del cuerpo solo con presión de agua, gotas o algodón humedecido (cotonetes).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0D76FC"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0D76FC" w:rsidRPr="000D76FC" w:rsidRDefault="000D76FC" w:rsidP="000D76FC">
      <w:pPr>
        <w:rPr>
          <w:rFonts w:asciiTheme="majorHAnsi" w:hAnsiTheme="majorHAnsi"/>
          <w:sz w:val="18"/>
          <w:szCs w:val="18"/>
        </w:rPr>
      </w:pPr>
    </w:p>
    <w:p w:rsidR="008549F5" w:rsidRPr="000D76FC" w:rsidRDefault="000D76FC" w:rsidP="000D76FC">
      <w:pPr>
        <w:tabs>
          <w:tab w:val="left" w:pos="5115"/>
        </w:tabs>
        <w:jc w:val="right"/>
        <w:rPr>
          <w:rFonts w:asciiTheme="majorHAnsi" w:hAnsiTheme="majorHAnsi"/>
          <w:sz w:val="18"/>
          <w:szCs w:val="18"/>
        </w:rPr>
      </w:pPr>
      <w:r>
        <w:rPr>
          <w:rFonts w:asciiTheme="majorHAnsi" w:hAnsiTheme="majorHAnsi"/>
          <w:sz w:val="18"/>
          <w:szCs w:val="18"/>
        </w:rPr>
        <w:tab/>
        <w:t>Oruro, 14 de junio 2019</w:t>
      </w:r>
    </w:p>
    <w:sectPr w:rsidR="008549F5" w:rsidRPr="000D76FC">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A93" w:rsidRDefault="009E1A93" w:rsidP="008710E5">
      <w:r>
        <w:separator/>
      </w:r>
    </w:p>
  </w:endnote>
  <w:endnote w:type="continuationSeparator" w:id="0">
    <w:p w:rsidR="009E1A93" w:rsidRDefault="009E1A93"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CA5841" w:rsidRPr="00CA5841" w:rsidTr="00CA5841">
      <w:trPr>
        <w:trHeight w:val="139"/>
        <w:jc w:val="center"/>
      </w:trPr>
      <w:tc>
        <w:tcPr>
          <w:tcW w:w="2942" w:type="dxa"/>
        </w:tcPr>
        <w:p w:rsidR="00C51190" w:rsidRPr="00CA5841" w:rsidRDefault="00C51190" w:rsidP="00C51190">
          <w:pPr>
            <w:pStyle w:val="Piedepgina"/>
            <w:rPr>
              <w:rFonts w:ascii="Calibri" w:hAnsi="Calibri"/>
              <w:color w:val="FFFFFF" w:themeColor="background1"/>
              <w:sz w:val="16"/>
              <w:szCs w:val="20"/>
            </w:rPr>
          </w:pPr>
          <w:r w:rsidRPr="00CA5841">
            <w:rPr>
              <w:rFonts w:ascii="Calibri" w:hAnsi="Calibri"/>
              <w:color w:val="FFFFFF" w:themeColor="background1"/>
              <w:sz w:val="16"/>
              <w:szCs w:val="20"/>
            </w:rPr>
            <w:t>Elaborado por:</w:t>
          </w:r>
        </w:p>
      </w:tc>
      <w:tc>
        <w:tcPr>
          <w:tcW w:w="3574" w:type="dxa"/>
        </w:tcPr>
        <w:p w:rsidR="00C51190" w:rsidRPr="00CA5841" w:rsidRDefault="00C51190" w:rsidP="00C51190">
          <w:pPr>
            <w:pStyle w:val="Piedepgina"/>
            <w:rPr>
              <w:rFonts w:ascii="Calibri" w:hAnsi="Calibri"/>
              <w:color w:val="FFFFFF" w:themeColor="background1"/>
              <w:sz w:val="16"/>
              <w:szCs w:val="20"/>
            </w:rPr>
          </w:pPr>
          <w:r w:rsidRPr="00CA5841">
            <w:rPr>
              <w:rFonts w:ascii="Calibri" w:hAnsi="Calibri"/>
              <w:color w:val="FFFFFF" w:themeColor="background1"/>
              <w:sz w:val="16"/>
              <w:szCs w:val="20"/>
            </w:rPr>
            <w:t>Revisado por:</w:t>
          </w:r>
        </w:p>
      </w:tc>
      <w:tc>
        <w:tcPr>
          <w:tcW w:w="2835" w:type="dxa"/>
        </w:tcPr>
        <w:p w:rsidR="00C51190" w:rsidRPr="00CA5841" w:rsidRDefault="00C51190" w:rsidP="00C51190">
          <w:pPr>
            <w:pStyle w:val="Piedepgina"/>
            <w:rPr>
              <w:rFonts w:ascii="Calibri" w:hAnsi="Calibri"/>
              <w:color w:val="FFFFFF" w:themeColor="background1"/>
              <w:sz w:val="16"/>
              <w:szCs w:val="20"/>
            </w:rPr>
          </w:pPr>
          <w:r w:rsidRPr="00CA5841">
            <w:rPr>
              <w:rFonts w:ascii="Calibri" w:hAnsi="Calibri"/>
              <w:color w:val="FFFFFF" w:themeColor="background1"/>
              <w:sz w:val="16"/>
              <w:szCs w:val="20"/>
            </w:rPr>
            <w:t>Aprobado por:</w:t>
          </w:r>
        </w:p>
      </w:tc>
    </w:tr>
    <w:tr w:rsidR="00CA5841" w:rsidRPr="00CA5841" w:rsidTr="00CA5841">
      <w:trPr>
        <w:trHeight w:val="748"/>
        <w:jc w:val="center"/>
      </w:trPr>
      <w:tc>
        <w:tcPr>
          <w:tcW w:w="2942" w:type="dxa"/>
        </w:tcPr>
        <w:p w:rsidR="00C51190" w:rsidRPr="00CA5841" w:rsidRDefault="00C51190" w:rsidP="00C51190">
          <w:pPr>
            <w:pStyle w:val="Piedepgina"/>
            <w:rPr>
              <w:rFonts w:ascii="Calibri" w:hAnsi="Calibri"/>
              <w:color w:val="FFFFFF" w:themeColor="background1"/>
              <w:sz w:val="16"/>
              <w:szCs w:val="20"/>
            </w:rPr>
          </w:pPr>
        </w:p>
        <w:p w:rsidR="00C51190" w:rsidRPr="00CA5841" w:rsidRDefault="00C51190" w:rsidP="00C51190">
          <w:pPr>
            <w:pStyle w:val="Piedepgina"/>
            <w:jc w:val="center"/>
            <w:rPr>
              <w:rFonts w:ascii="Calibri" w:hAnsi="Calibri"/>
              <w:color w:val="FFFFFF" w:themeColor="background1"/>
              <w:sz w:val="16"/>
              <w:szCs w:val="20"/>
            </w:rPr>
          </w:pPr>
        </w:p>
      </w:tc>
      <w:tc>
        <w:tcPr>
          <w:tcW w:w="3574" w:type="dxa"/>
        </w:tcPr>
        <w:p w:rsidR="00C51190" w:rsidRPr="00CA5841" w:rsidRDefault="00C51190" w:rsidP="00C51190">
          <w:pPr>
            <w:pStyle w:val="Piedepgina"/>
            <w:rPr>
              <w:rFonts w:ascii="Calibri" w:hAnsi="Calibri"/>
              <w:color w:val="FFFFFF" w:themeColor="background1"/>
              <w:sz w:val="16"/>
              <w:szCs w:val="20"/>
            </w:rPr>
          </w:pPr>
        </w:p>
      </w:tc>
      <w:tc>
        <w:tcPr>
          <w:tcW w:w="2835" w:type="dxa"/>
        </w:tcPr>
        <w:p w:rsidR="00C51190" w:rsidRPr="00CA5841" w:rsidRDefault="00C51190" w:rsidP="00C51190">
          <w:pPr>
            <w:pStyle w:val="Piedepgina"/>
            <w:rPr>
              <w:rFonts w:ascii="Calibri" w:hAnsi="Calibri"/>
              <w:color w:val="FFFFFF" w:themeColor="background1"/>
              <w:sz w:val="16"/>
              <w:szCs w:val="20"/>
            </w:rPr>
          </w:pPr>
        </w:p>
        <w:p w:rsidR="00C51190" w:rsidRPr="00CA5841" w:rsidRDefault="00C51190" w:rsidP="00C51190">
          <w:pPr>
            <w:pStyle w:val="Piedepgina"/>
            <w:jc w:val="center"/>
            <w:rPr>
              <w:rFonts w:ascii="Calibri" w:hAnsi="Calibri"/>
              <w:noProof/>
              <w:color w:val="FFFFFF" w:themeColor="background1"/>
              <w:sz w:val="16"/>
              <w:szCs w:val="20"/>
              <w:lang w:eastAsia="es-BO"/>
            </w:rPr>
          </w:pPr>
        </w:p>
        <w:p w:rsidR="00C51190" w:rsidRPr="00CA5841" w:rsidRDefault="00C51190" w:rsidP="00C51190">
          <w:pPr>
            <w:pStyle w:val="Piedepgina"/>
            <w:jc w:val="center"/>
            <w:rPr>
              <w:rFonts w:ascii="Calibri" w:hAnsi="Calibri"/>
              <w:color w:val="FFFFFF" w:themeColor="background1"/>
              <w:sz w:val="16"/>
              <w:szCs w:val="20"/>
            </w:rPr>
          </w:pPr>
        </w:p>
      </w:tc>
    </w:tr>
    <w:tr w:rsidR="00CA5841" w:rsidRPr="00CA5841" w:rsidTr="00CA5841">
      <w:trPr>
        <w:trHeight w:val="764"/>
        <w:jc w:val="center"/>
      </w:trPr>
      <w:tc>
        <w:tcPr>
          <w:tcW w:w="2942" w:type="dxa"/>
          <w:vAlign w:val="center"/>
        </w:tcPr>
        <w:p w:rsidR="00CD77DC" w:rsidRPr="00CA5841" w:rsidRDefault="00CD77DC" w:rsidP="00CD77DC">
          <w:pPr>
            <w:jc w:val="center"/>
            <w:rPr>
              <w:rFonts w:ascii="Forte" w:hAnsi="Forte" w:cs="Arial"/>
              <w:color w:val="FFFFFF" w:themeColor="background1"/>
              <w:sz w:val="18"/>
              <w:szCs w:val="12"/>
              <w:lang w:eastAsia="es-BO"/>
            </w:rPr>
          </w:pPr>
          <w:r w:rsidRPr="00CA5841">
            <w:rPr>
              <w:rFonts w:ascii="Forte" w:hAnsi="Forte" w:cs="Arial"/>
              <w:color w:val="FFFFFF" w:themeColor="background1"/>
              <w:sz w:val="18"/>
              <w:szCs w:val="12"/>
              <w:lang w:eastAsia="es-BO"/>
            </w:rPr>
            <w:t xml:space="preserve">Ing. Edgar Lopez Saravia </w:t>
          </w:r>
        </w:p>
        <w:p w:rsidR="00CD77DC" w:rsidRPr="00CA5841" w:rsidRDefault="00CD77DC" w:rsidP="00CD77DC">
          <w:pP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TECNICO OPERATIVO DE MANTENIMIENTO</w:t>
          </w:r>
        </w:p>
        <w:p w:rsidR="00CD77DC" w:rsidRPr="00CA5841" w:rsidRDefault="00CD77DC" w:rsidP="00CD77DC">
          <w:pPr>
            <w:jc w:val="cente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SISTEMA DE PROTECCION CATODICA</w:t>
          </w:r>
        </w:p>
        <w:p w:rsidR="00CD77DC" w:rsidRPr="00CA5841" w:rsidRDefault="00CD77DC" w:rsidP="00CD77DC">
          <w:pPr>
            <w:jc w:val="cente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DISTRITO REDES DE GAS ORURO</w:t>
          </w:r>
        </w:p>
        <w:p w:rsidR="00C51190" w:rsidRPr="00CA5841" w:rsidRDefault="00CD77DC" w:rsidP="00CD77DC">
          <w:pPr>
            <w:pStyle w:val="Piedepgina"/>
            <w:jc w:val="center"/>
            <w:rPr>
              <w:rFonts w:ascii="Calibri" w:hAnsi="Calibri"/>
              <w:color w:val="FFFFFF" w:themeColor="background1"/>
              <w:sz w:val="12"/>
              <w:szCs w:val="12"/>
              <w:lang w:val="en-US"/>
            </w:rPr>
          </w:pPr>
          <w:r w:rsidRPr="00CA5841">
            <w:rPr>
              <w:rFonts w:ascii="Arial" w:hAnsi="Arial" w:cs="Arial"/>
              <w:b/>
              <w:color w:val="FFFFFF" w:themeColor="background1"/>
              <w:sz w:val="12"/>
              <w:szCs w:val="12"/>
              <w:lang w:val="en-US" w:eastAsia="es-BO"/>
            </w:rPr>
            <w:t>DROR-GRGD – Y.P.F.B.</w:t>
          </w:r>
        </w:p>
      </w:tc>
      <w:tc>
        <w:tcPr>
          <w:tcW w:w="3574" w:type="dxa"/>
        </w:tcPr>
        <w:p w:rsidR="00C51190" w:rsidRPr="00CA5841" w:rsidRDefault="00C51190" w:rsidP="00C51190">
          <w:pPr>
            <w:jc w:val="center"/>
            <w:rPr>
              <w:rFonts w:ascii="Forte" w:hAnsi="Forte" w:cs="Arial"/>
              <w:color w:val="FFFFFF" w:themeColor="background1"/>
              <w:sz w:val="18"/>
              <w:szCs w:val="18"/>
              <w:lang w:eastAsia="es-BO"/>
            </w:rPr>
          </w:pPr>
          <w:r w:rsidRPr="00CA5841">
            <w:rPr>
              <w:rFonts w:ascii="Forte" w:hAnsi="Forte" w:cs="Arial"/>
              <w:color w:val="FFFFFF" w:themeColor="background1"/>
              <w:sz w:val="18"/>
              <w:szCs w:val="18"/>
              <w:lang w:eastAsia="es-BO"/>
            </w:rPr>
            <w:t>Ing. Edwin Aguilar Ayma</w:t>
          </w:r>
        </w:p>
        <w:p w:rsidR="00C51190" w:rsidRPr="00CA5841" w:rsidRDefault="00CD77DC" w:rsidP="00C51190">
          <w:pPr>
            <w:jc w:val="cente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RESPONSABLE DE OPERACIÓN Y MANTENIMIENTO</w:t>
          </w:r>
        </w:p>
        <w:p w:rsidR="00C51190" w:rsidRPr="00CA5841" w:rsidRDefault="00CD77DC" w:rsidP="00C51190">
          <w:pPr>
            <w:jc w:val="cente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UNIDAD DISTRITAL DE OPERACIÓN Y MANTENIMIENTO</w:t>
          </w:r>
        </w:p>
        <w:p w:rsidR="00C51190" w:rsidRPr="00CA5841" w:rsidRDefault="00CD77DC" w:rsidP="00C51190">
          <w:pPr>
            <w:jc w:val="cente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DISTRITO REDES DE GAS ORURO</w:t>
          </w:r>
        </w:p>
        <w:p w:rsidR="00C51190" w:rsidRPr="00CA5841" w:rsidRDefault="00CD77DC" w:rsidP="00C51190">
          <w:pPr>
            <w:jc w:val="center"/>
            <w:rPr>
              <w:rFonts w:ascii="Forte" w:hAnsi="Forte" w:cs="Arial"/>
              <w:color w:val="FFFFFF" w:themeColor="background1"/>
              <w:sz w:val="18"/>
              <w:szCs w:val="20"/>
              <w:lang w:eastAsia="es-BO"/>
            </w:rPr>
          </w:pPr>
          <w:r w:rsidRPr="00CA5841">
            <w:rPr>
              <w:rFonts w:ascii="Arial" w:hAnsi="Arial" w:cs="Arial"/>
              <w:b/>
              <w:color w:val="FFFFFF" w:themeColor="background1"/>
              <w:sz w:val="12"/>
              <w:szCs w:val="12"/>
              <w:lang w:eastAsia="es-BO"/>
            </w:rPr>
            <w:t>GRGD – Y.P.F.B</w:t>
          </w:r>
        </w:p>
      </w:tc>
      <w:tc>
        <w:tcPr>
          <w:tcW w:w="2835" w:type="dxa"/>
          <w:vAlign w:val="center"/>
        </w:tcPr>
        <w:p w:rsidR="00C51190" w:rsidRPr="00CA5841" w:rsidRDefault="00C51190" w:rsidP="00C51190">
          <w:pPr>
            <w:jc w:val="center"/>
            <w:rPr>
              <w:rFonts w:ascii="Forte" w:hAnsi="Forte" w:cs="Arial"/>
              <w:color w:val="FFFFFF" w:themeColor="background1"/>
              <w:sz w:val="18"/>
              <w:szCs w:val="18"/>
              <w:lang w:eastAsia="es-BO"/>
            </w:rPr>
          </w:pPr>
          <w:r w:rsidRPr="00CA5841">
            <w:rPr>
              <w:rFonts w:ascii="Forte" w:hAnsi="Forte" w:cs="Arial"/>
              <w:color w:val="FFFFFF" w:themeColor="background1"/>
              <w:sz w:val="18"/>
              <w:szCs w:val="18"/>
              <w:lang w:eastAsia="es-BO"/>
            </w:rPr>
            <w:t>Ing. Wilder Rene Choque Paredes</w:t>
          </w:r>
        </w:p>
        <w:p w:rsidR="00C51190" w:rsidRPr="00CA5841" w:rsidRDefault="00CD77DC" w:rsidP="00C51190">
          <w:pPr>
            <w:jc w:val="cente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JEFE UNIDAD DISTRITAL DE OPERACIÓN Y MANTENIMIENTO A.I.</w:t>
          </w:r>
        </w:p>
        <w:p w:rsidR="00C51190" w:rsidRPr="00CA5841" w:rsidRDefault="00CD77DC" w:rsidP="00C51190">
          <w:pPr>
            <w:jc w:val="center"/>
            <w:rPr>
              <w:rFonts w:ascii="Arial" w:hAnsi="Arial" w:cs="Arial"/>
              <w:b/>
              <w:color w:val="FFFFFF" w:themeColor="background1"/>
              <w:sz w:val="12"/>
              <w:szCs w:val="12"/>
              <w:lang w:eastAsia="es-BO"/>
            </w:rPr>
          </w:pPr>
          <w:r w:rsidRPr="00CA5841">
            <w:rPr>
              <w:rFonts w:ascii="Arial" w:hAnsi="Arial" w:cs="Arial"/>
              <w:b/>
              <w:color w:val="FFFFFF" w:themeColor="background1"/>
              <w:sz w:val="12"/>
              <w:szCs w:val="12"/>
              <w:lang w:eastAsia="es-BO"/>
            </w:rPr>
            <w:t>DISTRITO REDES DE GAS ORURO</w:t>
          </w:r>
        </w:p>
        <w:p w:rsidR="00C51190" w:rsidRPr="00CA5841" w:rsidRDefault="00CD77DC" w:rsidP="00C51190">
          <w:pPr>
            <w:pStyle w:val="Piedepgina"/>
            <w:jc w:val="center"/>
            <w:rPr>
              <w:rFonts w:ascii="Calibri" w:hAnsi="Calibri"/>
              <w:color w:val="FFFFFF" w:themeColor="background1"/>
              <w:sz w:val="12"/>
              <w:szCs w:val="12"/>
            </w:rPr>
          </w:pPr>
          <w:r w:rsidRPr="00CA5841">
            <w:rPr>
              <w:rFonts w:ascii="Arial" w:hAnsi="Arial" w:cs="Arial"/>
              <w:b/>
              <w:color w:val="FFFFFF" w:themeColor="background1"/>
              <w:sz w:val="12"/>
              <w:szCs w:val="12"/>
              <w:lang w:eastAsia="es-BO"/>
            </w:rPr>
            <w:t>GRGD – Y.P.F.B</w:t>
          </w:r>
        </w:p>
      </w:tc>
    </w:tr>
  </w:tbl>
  <w:p w:rsidR="00737C33" w:rsidRPr="00C51190" w:rsidRDefault="00737C33">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A93" w:rsidRDefault="009E1A93" w:rsidP="008710E5">
      <w:r>
        <w:separator/>
      </w:r>
    </w:p>
  </w:footnote>
  <w:footnote w:type="continuationSeparator" w:id="0">
    <w:p w:rsidR="009E1A93" w:rsidRDefault="009E1A93"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4165D3"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737C33" w:rsidRPr="0076024C" w:rsidRDefault="00737C33" w:rsidP="00397230">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397230">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A5841">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A5841">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8710E5">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8710E5">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A5841">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A5841">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D264C"/>
    <w:rsid w:val="000D54B8"/>
    <w:rsid w:val="000D76FC"/>
    <w:rsid w:val="000E1AF2"/>
    <w:rsid w:val="000E31CD"/>
    <w:rsid w:val="000F619F"/>
    <w:rsid w:val="000F756C"/>
    <w:rsid w:val="0010392E"/>
    <w:rsid w:val="00147592"/>
    <w:rsid w:val="001756B9"/>
    <w:rsid w:val="00176138"/>
    <w:rsid w:val="001C09E2"/>
    <w:rsid w:val="001F2750"/>
    <w:rsid w:val="001F60A5"/>
    <w:rsid w:val="001F6E93"/>
    <w:rsid w:val="0020768D"/>
    <w:rsid w:val="00222C12"/>
    <w:rsid w:val="00244EBA"/>
    <w:rsid w:val="00270572"/>
    <w:rsid w:val="00295C03"/>
    <w:rsid w:val="002E05C0"/>
    <w:rsid w:val="002F3D65"/>
    <w:rsid w:val="00397230"/>
    <w:rsid w:val="003C0136"/>
    <w:rsid w:val="003D2BB5"/>
    <w:rsid w:val="003E2553"/>
    <w:rsid w:val="004126EA"/>
    <w:rsid w:val="00415267"/>
    <w:rsid w:val="004165D3"/>
    <w:rsid w:val="00497CB5"/>
    <w:rsid w:val="004B36DA"/>
    <w:rsid w:val="00562773"/>
    <w:rsid w:val="00562CE3"/>
    <w:rsid w:val="005635A6"/>
    <w:rsid w:val="00590442"/>
    <w:rsid w:val="005A1A21"/>
    <w:rsid w:val="005B4B19"/>
    <w:rsid w:val="005F03CA"/>
    <w:rsid w:val="00616A8D"/>
    <w:rsid w:val="00620E73"/>
    <w:rsid w:val="00631B5F"/>
    <w:rsid w:val="0063620A"/>
    <w:rsid w:val="0064505E"/>
    <w:rsid w:val="00694F2B"/>
    <w:rsid w:val="00715FD7"/>
    <w:rsid w:val="00737C33"/>
    <w:rsid w:val="007D4042"/>
    <w:rsid w:val="007E3371"/>
    <w:rsid w:val="00853D36"/>
    <w:rsid w:val="008549F5"/>
    <w:rsid w:val="008710E5"/>
    <w:rsid w:val="0088717D"/>
    <w:rsid w:val="008A0790"/>
    <w:rsid w:val="008C2D47"/>
    <w:rsid w:val="00932E94"/>
    <w:rsid w:val="00941FC6"/>
    <w:rsid w:val="0094426C"/>
    <w:rsid w:val="00973777"/>
    <w:rsid w:val="009E1A93"/>
    <w:rsid w:val="00A20943"/>
    <w:rsid w:val="00A536BD"/>
    <w:rsid w:val="00A927BB"/>
    <w:rsid w:val="00B7478C"/>
    <w:rsid w:val="00BC14BE"/>
    <w:rsid w:val="00BE5C00"/>
    <w:rsid w:val="00C51190"/>
    <w:rsid w:val="00C77E60"/>
    <w:rsid w:val="00C915E3"/>
    <w:rsid w:val="00CA4C07"/>
    <w:rsid w:val="00CA5841"/>
    <w:rsid w:val="00CB339F"/>
    <w:rsid w:val="00CD77DC"/>
    <w:rsid w:val="00D72188"/>
    <w:rsid w:val="00D873AD"/>
    <w:rsid w:val="00DC5AA5"/>
    <w:rsid w:val="00DD655A"/>
    <w:rsid w:val="00E53DC1"/>
    <w:rsid w:val="00ED122C"/>
    <w:rsid w:val="00EE792E"/>
    <w:rsid w:val="00F37A83"/>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22064</Words>
  <Characters>121356</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7</cp:revision>
  <cp:lastPrinted>2017-05-19T20:19:00Z</cp:lastPrinted>
  <dcterms:created xsi:type="dcterms:W3CDTF">2018-07-20T12:33:00Z</dcterms:created>
  <dcterms:modified xsi:type="dcterms:W3CDTF">2019-07-05T23:58:00Z</dcterms:modified>
</cp:coreProperties>
</file>