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EC" w:rsidRPr="00CE1D0F" w:rsidRDefault="002F18EC" w:rsidP="002F18EC">
      <w:pPr>
        <w:widowControl w:val="0"/>
        <w:overflowPunct w:val="0"/>
        <w:autoSpaceDE w:val="0"/>
        <w:autoSpaceDN w:val="0"/>
        <w:adjustRightInd w:val="0"/>
        <w:spacing w:line="276" w:lineRule="auto"/>
        <w:ind w:right="334"/>
        <w:jc w:val="both"/>
        <w:rPr>
          <w:rFonts w:ascii="Calibri" w:hAnsi="Calibri" w:cs="Calibri"/>
        </w:rPr>
      </w:pPr>
      <w:bookmarkStart w:id="0" w:name="_GoBack"/>
      <w:bookmarkEnd w:id="0"/>
      <w:r w:rsidRPr="00CE1D0F">
        <w:rPr>
          <w:rFonts w:ascii="Calibri" w:hAnsi="Calibri" w:cs="Calibri"/>
        </w:rPr>
        <w:t>En caso de que la EMPRESA CONSULTORA presente un retraso en la entrega del Reporte  Final, se aplicaran las siguientes multas:</w:t>
      </w:r>
    </w:p>
    <w:p w:rsidR="002F18EC" w:rsidRPr="00CE1D0F" w:rsidRDefault="002F18EC" w:rsidP="002F18EC">
      <w:pPr>
        <w:widowControl w:val="0"/>
        <w:overflowPunct w:val="0"/>
        <w:autoSpaceDE w:val="0"/>
        <w:autoSpaceDN w:val="0"/>
        <w:adjustRightInd w:val="0"/>
        <w:spacing w:line="276" w:lineRule="auto"/>
        <w:ind w:left="567" w:right="334"/>
        <w:jc w:val="both"/>
        <w:rPr>
          <w:rFonts w:ascii="Calibri" w:hAnsi="Calibri" w:cs="Calibri"/>
        </w:rPr>
      </w:pPr>
    </w:p>
    <w:p w:rsidR="002F18EC" w:rsidRPr="00CE1D0F" w:rsidRDefault="002F18EC" w:rsidP="002F18EC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left="1066" w:right="334" w:hanging="357"/>
        <w:contextualSpacing w:val="0"/>
        <w:jc w:val="both"/>
        <w:rPr>
          <w:rFonts w:ascii="Calibri" w:hAnsi="Calibri" w:cs="Calibri"/>
        </w:rPr>
      </w:pPr>
      <w:r w:rsidRPr="00CE1D0F">
        <w:rPr>
          <w:rFonts w:ascii="Calibri" w:hAnsi="Calibri" w:cs="Calibri"/>
        </w:rPr>
        <w:t>El monto equivalente al 2 por 1000 del monto total del Contrato por cada día de atraso desde el día 1 hasta el día 30.</w:t>
      </w:r>
    </w:p>
    <w:p w:rsidR="002F18EC" w:rsidRPr="00CE1D0F" w:rsidRDefault="002F18EC" w:rsidP="002F18EC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left="1066" w:right="334" w:hanging="357"/>
        <w:contextualSpacing w:val="0"/>
        <w:jc w:val="both"/>
        <w:rPr>
          <w:rFonts w:ascii="Calibri" w:hAnsi="Calibri" w:cs="Calibri"/>
        </w:rPr>
      </w:pPr>
      <w:r w:rsidRPr="00CE1D0F">
        <w:rPr>
          <w:rFonts w:ascii="Calibri" w:hAnsi="Calibri" w:cs="Calibri"/>
        </w:rPr>
        <w:t>El monto equivalente al 2,5 por 1000 del monto total del Contrato por cada día de atraso desde el día 31 en adelante.</w:t>
      </w:r>
    </w:p>
    <w:p w:rsidR="002F18EC" w:rsidRPr="00CE1D0F" w:rsidRDefault="002F18EC" w:rsidP="002F18EC">
      <w:pPr>
        <w:pStyle w:val="Prrafodelista"/>
        <w:widowControl w:val="0"/>
        <w:overflowPunct w:val="0"/>
        <w:autoSpaceDE w:val="0"/>
        <w:autoSpaceDN w:val="0"/>
        <w:adjustRightInd w:val="0"/>
        <w:spacing w:line="276" w:lineRule="auto"/>
        <w:ind w:left="1066" w:right="334"/>
        <w:jc w:val="both"/>
        <w:rPr>
          <w:rFonts w:ascii="Calibri" w:hAnsi="Calibri" w:cs="Calibri"/>
        </w:rPr>
      </w:pPr>
    </w:p>
    <w:p w:rsidR="002F18EC" w:rsidRPr="00CE1D0F" w:rsidRDefault="002F18EC" w:rsidP="002F18EC">
      <w:pPr>
        <w:widowControl w:val="0"/>
        <w:overflowPunct w:val="0"/>
        <w:autoSpaceDE w:val="0"/>
        <w:autoSpaceDN w:val="0"/>
        <w:adjustRightInd w:val="0"/>
        <w:spacing w:line="276" w:lineRule="auto"/>
        <w:ind w:right="334"/>
        <w:jc w:val="both"/>
        <w:rPr>
          <w:rFonts w:ascii="Calibri" w:hAnsi="Calibri" w:cs="Calibri"/>
        </w:rPr>
      </w:pPr>
      <w:r w:rsidRPr="00CE1D0F">
        <w:rPr>
          <w:rFonts w:ascii="Calibri" w:hAnsi="Calibri" w:cs="Calibri"/>
        </w:rPr>
        <w:t>Se aplicaran las multas señaladas de manera precedente, en caso que la EMPRESA CONSULTORA no entregase el Reporte final dentro del plazo previsto en el cronograma aprobado.</w:t>
      </w:r>
    </w:p>
    <w:p w:rsidR="002F18EC" w:rsidRDefault="002F18EC" w:rsidP="002F18EC">
      <w:pPr>
        <w:widowControl w:val="0"/>
        <w:overflowPunct w:val="0"/>
        <w:autoSpaceDE w:val="0"/>
        <w:autoSpaceDN w:val="0"/>
        <w:adjustRightInd w:val="0"/>
        <w:spacing w:line="276" w:lineRule="auto"/>
        <w:ind w:left="567" w:right="334"/>
        <w:jc w:val="both"/>
        <w:rPr>
          <w:rFonts w:ascii="Calibri" w:hAnsi="Calibri" w:cs="Calibri"/>
        </w:rPr>
      </w:pPr>
    </w:p>
    <w:p w:rsidR="002F18EC" w:rsidRPr="00CE1D0F" w:rsidRDefault="002F18EC" w:rsidP="002F18EC">
      <w:pPr>
        <w:widowControl w:val="0"/>
        <w:overflowPunct w:val="0"/>
        <w:autoSpaceDE w:val="0"/>
        <w:autoSpaceDN w:val="0"/>
        <w:adjustRightInd w:val="0"/>
        <w:spacing w:line="276" w:lineRule="auto"/>
        <w:ind w:right="334"/>
        <w:jc w:val="both"/>
        <w:rPr>
          <w:rFonts w:ascii="Calibri" w:hAnsi="Calibri" w:cs="Calibri"/>
        </w:rPr>
      </w:pPr>
      <w:r w:rsidRPr="00CE1D0F">
        <w:rPr>
          <w:rFonts w:ascii="Calibri" w:hAnsi="Calibri" w:cs="Calibri"/>
        </w:rPr>
        <w:t xml:space="preserve">Así mismo en caso de no subsanar las observaciones </w:t>
      </w:r>
      <w:r>
        <w:rPr>
          <w:rFonts w:ascii="Calibri" w:hAnsi="Calibri" w:cs="Calibri"/>
        </w:rPr>
        <w:t xml:space="preserve">de la CONTRAPARTE </w:t>
      </w:r>
      <w:r w:rsidRPr="00CE1D0F">
        <w:rPr>
          <w:rFonts w:ascii="Calibri" w:hAnsi="Calibri" w:cs="Calibri"/>
        </w:rPr>
        <w:t xml:space="preserve">efectuadas </w:t>
      </w:r>
      <w:r>
        <w:rPr>
          <w:rFonts w:ascii="Calibri" w:hAnsi="Calibri" w:cs="Calibri"/>
        </w:rPr>
        <w:t xml:space="preserve">al Reporte Final </w:t>
      </w:r>
      <w:r w:rsidRPr="00CE1D0F">
        <w:rPr>
          <w:rFonts w:ascii="Calibri" w:hAnsi="Calibri" w:cs="Calibri"/>
        </w:rPr>
        <w:t>en el plazo establecido se aplicará la multa del cero punto cinco por ciento (0.5 %) del monto total de los servicios, por cada día calendario de atraso.</w:t>
      </w:r>
    </w:p>
    <w:p w:rsidR="00B367FB" w:rsidRPr="00310D44" w:rsidRDefault="002F18EC" w:rsidP="002F18EC">
      <w:pPr>
        <w:spacing w:after="0" w:line="240" w:lineRule="auto"/>
        <w:jc w:val="both"/>
        <w:rPr>
          <w:rFonts w:ascii="Arial" w:eastAsia="Times New Roman" w:hAnsi="Arial" w:cs="Arial"/>
          <w:spacing w:val="-1"/>
          <w:lang w:eastAsia="es-ES"/>
        </w:rPr>
      </w:pPr>
      <w:r w:rsidRPr="00CE1D0F">
        <w:rPr>
          <w:rFonts w:ascii="Calibri" w:hAnsi="Calibri" w:cs="Calibri"/>
        </w:rPr>
        <w:t>En caso de que el monto acumulado, por la aplicación de multas, sea mayor al 15% del monto total del contrato se procederá a la resolución del mismo, previa notificación a la EMPRESA CONSULTORA. Estas multas serán descontadas antes del pago final.</w:t>
      </w:r>
    </w:p>
    <w:p w:rsidR="00B65036" w:rsidRPr="00B65036" w:rsidRDefault="00B65036" w:rsidP="00B65036">
      <w:pPr>
        <w:spacing w:after="0" w:line="240" w:lineRule="auto"/>
        <w:jc w:val="both"/>
        <w:rPr>
          <w:rFonts w:ascii="Book Antiqua" w:eastAsia="Times New Roman" w:hAnsi="Book Antiqua" w:cs="Times New Roman"/>
          <w:spacing w:val="-1"/>
          <w:lang w:eastAsia="es-ES"/>
        </w:rPr>
      </w:pPr>
    </w:p>
    <w:p w:rsidR="00295337" w:rsidRPr="00B65036" w:rsidRDefault="00295337"/>
    <w:sectPr w:rsidR="00295337" w:rsidRPr="00B6503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03B" w:rsidRDefault="0034603B" w:rsidP="00310D44">
      <w:pPr>
        <w:spacing w:after="0" w:line="240" w:lineRule="auto"/>
      </w:pPr>
      <w:r>
        <w:separator/>
      </w:r>
    </w:p>
  </w:endnote>
  <w:endnote w:type="continuationSeparator" w:id="0">
    <w:p w:rsidR="0034603B" w:rsidRDefault="0034603B" w:rsidP="0031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03B" w:rsidRDefault="0034603B" w:rsidP="00310D44">
      <w:pPr>
        <w:spacing w:after="0" w:line="240" w:lineRule="auto"/>
      </w:pPr>
      <w:r>
        <w:separator/>
      </w:r>
    </w:p>
  </w:footnote>
  <w:footnote w:type="continuationSeparator" w:id="0">
    <w:p w:rsidR="0034603B" w:rsidRDefault="0034603B" w:rsidP="0031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85"/>
      <w:gridCol w:w="5100"/>
      <w:gridCol w:w="2268"/>
    </w:tblGrid>
    <w:tr w:rsidR="00310D44" w:rsidRPr="00CD767F" w:rsidTr="00110C22">
      <w:trPr>
        <w:trHeight w:val="1273"/>
        <w:jc w:val="center"/>
      </w:trPr>
      <w:tc>
        <w:tcPr>
          <w:tcW w:w="238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10D44" w:rsidRPr="00CD767F" w:rsidRDefault="00310D44" w:rsidP="00310D44">
          <w:pPr>
            <w:spacing w:after="60" w:line="240" w:lineRule="auto"/>
            <w:jc w:val="center"/>
            <w:rPr>
              <w:rFonts w:ascii="Arial Black" w:eastAsia="Calibri" w:hAnsi="Arial Black" w:cs="Arial"/>
              <w:b/>
              <w:szCs w:val="20"/>
              <w:lang w:eastAsia="es-BO"/>
            </w:rPr>
          </w:pPr>
          <w:r w:rsidRPr="00CD767F">
            <w:rPr>
              <w:rFonts w:ascii="Arial" w:eastAsia="Calibri" w:hAnsi="Arial" w:cs="Times New Roman"/>
              <w:noProof/>
              <w:szCs w:val="20"/>
              <w:lang w:eastAsia="es-BO"/>
            </w:rPr>
            <w:drawing>
              <wp:inline distT="0" distB="0" distL="0" distR="0" wp14:anchorId="5F981DD7" wp14:editId="69BDA31C">
                <wp:extent cx="981075" cy="638175"/>
                <wp:effectExtent l="0" t="0" r="9525" b="9525"/>
                <wp:docPr id="4" name="Imagen 4" descr="Logo YPFB ridot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 descr="Logo YPFB ridot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0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:rsidR="00310D44" w:rsidRPr="00CD767F" w:rsidRDefault="00B94BB9" w:rsidP="00310D44">
          <w:pPr>
            <w:spacing w:after="60" w:line="240" w:lineRule="auto"/>
            <w:jc w:val="center"/>
            <w:rPr>
              <w:rFonts w:ascii="Arial" w:eastAsia="Calibri" w:hAnsi="Arial" w:cs="Arial"/>
              <w:lang w:eastAsia="es-BO"/>
            </w:rPr>
          </w:pPr>
          <w:r w:rsidRPr="00B94BB9">
            <w:rPr>
              <w:rFonts w:ascii="Arial" w:eastAsia="Calibri" w:hAnsi="Arial" w:cs="Arial"/>
              <w:b/>
              <w:lang w:eastAsia="es-BO"/>
            </w:rPr>
            <w:t>SERVICIO FEED DEL PROYECTO DE CONSTRUCCION DE LAS PLANTAS DE PROPILENO Y POLIPROPILENO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10D44" w:rsidRPr="00CD767F" w:rsidRDefault="00310D44" w:rsidP="00310D44">
          <w:pPr>
            <w:spacing w:after="60" w:line="240" w:lineRule="auto"/>
            <w:rPr>
              <w:rFonts w:ascii="Arial" w:eastAsia="Calibri" w:hAnsi="Arial" w:cs="Arial"/>
              <w:b/>
              <w:bCs/>
              <w:sz w:val="18"/>
              <w:szCs w:val="18"/>
              <w:lang w:eastAsia="es-BO"/>
            </w:rPr>
          </w:pPr>
          <w:r w:rsidRPr="00CD767F">
            <w:rPr>
              <w:rFonts w:ascii="Arial" w:eastAsia="Calibri" w:hAnsi="Arial" w:cs="Arial"/>
              <w:b/>
              <w:bCs/>
              <w:sz w:val="18"/>
              <w:szCs w:val="18"/>
              <w:lang w:eastAsia="es-BO"/>
            </w:rPr>
            <w:t>No. Documento:</w:t>
          </w:r>
        </w:p>
        <w:p w:rsidR="00310D44" w:rsidRPr="002F18EC" w:rsidRDefault="00B94BB9" w:rsidP="00310D44">
          <w:pPr>
            <w:spacing w:after="60" w:line="240" w:lineRule="auto"/>
            <w:rPr>
              <w:rFonts w:ascii="Arial" w:eastAsia="Calibri" w:hAnsi="Arial" w:cs="Arial"/>
              <w:sz w:val="18"/>
              <w:szCs w:val="18"/>
              <w:lang w:eastAsia="es-BO"/>
            </w:rPr>
          </w:pPr>
          <w:r w:rsidRPr="002F18EC">
            <w:rPr>
              <w:rFonts w:ascii="Arial" w:eastAsia="Calibri" w:hAnsi="Arial" w:cs="Arial"/>
              <w:bCs/>
              <w:sz w:val="18"/>
              <w:szCs w:val="18"/>
              <w:lang w:eastAsia="es-BO"/>
            </w:rPr>
            <w:t xml:space="preserve">PPP-YPFB-TDR-A2 </w:t>
          </w:r>
          <w:r w:rsidR="00310D44" w:rsidRPr="002F18EC">
            <w:rPr>
              <w:rFonts w:ascii="Arial" w:eastAsia="Calibri" w:hAnsi="Arial" w:cs="Arial"/>
              <w:b/>
              <w:bCs/>
              <w:sz w:val="18"/>
              <w:szCs w:val="18"/>
              <w:lang w:eastAsia="es-BO"/>
            </w:rPr>
            <w:t>Rev.:</w:t>
          </w:r>
          <w:r w:rsidR="00310D44" w:rsidRPr="002F18EC">
            <w:rPr>
              <w:rFonts w:ascii="Arial" w:eastAsia="Calibri" w:hAnsi="Arial" w:cs="Arial"/>
              <w:sz w:val="18"/>
              <w:szCs w:val="18"/>
              <w:lang w:eastAsia="es-BO"/>
            </w:rPr>
            <w:t xml:space="preserve"> 0</w:t>
          </w:r>
        </w:p>
        <w:p w:rsidR="00310D44" w:rsidRPr="00CD767F" w:rsidRDefault="00310D44" w:rsidP="00B367FB">
          <w:pPr>
            <w:spacing w:after="60" w:line="240" w:lineRule="auto"/>
            <w:rPr>
              <w:rFonts w:ascii="Arial" w:eastAsia="Calibri" w:hAnsi="Arial" w:cs="Arial"/>
              <w:bCs/>
              <w:sz w:val="18"/>
              <w:szCs w:val="18"/>
              <w:lang w:eastAsia="es-BO"/>
            </w:rPr>
          </w:pPr>
          <w:r w:rsidRPr="00CD767F">
            <w:rPr>
              <w:rFonts w:ascii="Arial" w:eastAsia="Calibri" w:hAnsi="Arial" w:cs="Arial"/>
              <w:b/>
              <w:bCs/>
              <w:sz w:val="18"/>
              <w:szCs w:val="18"/>
              <w:lang w:eastAsia="es-BO"/>
            </w:rPr>
            <w:t>Fecha:</w:t>
          </w:r>
          <w:r w:rsidRPr="00CD767F">
            <w:rPr>
              <w:rFonts w:ascii="Arial" w:eastAsia="Calibri" w:hAnsi="Arial" w:cs="Arial"/>
              <w:sz w:val="18"/>
              <w:szCs w:val="18"/>
              <w:lang w:eastAsia="es-BO"/>
            </w:rPr>
            <w:t xml:space="preserve"> </w:t>
          </w:r>
          <w:r w:rsidR="00B367FB">
            <w:rPr>
              <w:rFonts w:ascii="Arial" w:eastAsia="Calibri" w:hAnsi="Arial" w:cs="Arial"/>
              <w:sz w:val="18"/>
              <w:szCs w:val="18"/>
              <w:lang w:eastAsia="es-BO"/>
            </w:rPr>
            <w:t>27</w:t>
          </w:r>
          <w:r w:rsidRPr="00CD767F">
            <w:rPr>
              <w:rFonts w:ascii="Arial" w:eastAsia="Calibri" w:hAnsi="Arial" w:cs="Arial"/>
              <w:sz w:val="18"/>
              <w:szCs w:val="18"/>
              <w:lang w:eastAsia="es-BO"/>
            </w:rPr>
            <w:t>-</w:t>
          </w:r>
          <w:r w:rsidR="00B367FB">
            <w:rPr>
              <w:rFonts w:ascii="Arial" w:eastAsia="Calibri" w:hAnsi="Arial" w:cs="Arial"/>
              <w:sz w:val="18"/>
              <w:szCs w:val="18"/>
              <w:lang w:eastAsia="es-BO"/>
            </w:rPr>
            <w:t>sep</w:t>
          </w:r>
          <w:r w:rsidRPr="00CD767F">
            <w:rPr>
              <w:rFonts w:ascii="Arial" w:eastAsia="Calibri" w:hAnsi="Arial" w:cs="Arial"/>
              <w:sz w:val="18"/>
              <w:szCs w:val="18"/>
              <w:lang w:eastAsia="es-BO"/>
            </w:rPr>
            <w:t>-201</w:t>
          </w:r>
          <w:r w:rsidR="00B367FB">
            <w:rPr>
              <w:rFonts w:ascii="Arial" w:eastAsia="Calibri" w:hAnsi="Arial" w:cs="Arial"/>
              <w:sz w:val="18"/>
              <w:szCs w:val="18"/>
              <w:lang w:eastAsia="es-BO"/>
            </w:rPr>
            <w:t>7</w:t>
          </w:r>
        </w:p>
      </w:tc>
    </w:tr>
    <w:tr w:rsidR="00310D44" w:rsidRPr="00CD767F" w:rsidTr="00110C22">
      <w:trPr>
        <w:cantSplit/>
        <w:trHeight w:val="315"/>
        <w:jc w:val="center"/>
      </w:trPr>
      <w:tc>
        <w:tcPr>
          <w:tcW w:w="975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10D44" w:rsidRPr="00CD767F" w:rsidRDefault="00310D44" w:rsidP="00310D44">
          <w:pPr>
            <w:spacing w:before="80" w:after="80" w:line="240" w:lineRule="auto"/>
            <w:jc w:val="center"/>
            <w:rPr>
              <w:rFonts w:ascii="Arial" w:eastAsia="Calibri" w:hAnsi="Arial" w:cs="Arial"/>
              <w:b/>
              <w:szCs w:val="20"/>
              <w:lang w:eastAsia="es-BO"/>
            </w:rPr>
          </w:pPr>
          <w:r w:rsidRPr="00CD767F">
            <w:rPr>
              <w:rFonts w:ascii="Arial" w:eastAsia="Calibri" w:hAnsi="Arial" w:cs="Arial"/>
              <w:b/>
              <w:szCs w:val="20"/>
              <w:lang w:eastAsia="es-BO"/>
            </w:rPr>
            <w:t>TERMINOS DE REFERENCIA</w:t>
          </w:r>
        </w:p>
        <w:p w:rsidR="00310D44" w:rsidRPr="00CD767F" w:rsidRDefault="00B94BB9" w:rsidP="00310D44">
          <w:pPr>
            <w:spacing w:before="80" w:after="8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s-BO"/>
            </w:rPr>
          </w:pPr>
          <w:r>
            <w:rPr>
              <w:rFonts w:ascii="Arial" w:eastAsia="Calibri" w:hAnsi="Arial" w:cs="Arial"/>
              <w:b/>
              <w:szCs w:val="20"/>
              <w:lang w:eastAsia="es-BO"/>
            </w:rPr>
            <w:t xml:space="preserve">ANEXO - </w:t>
          </w:r>
          <w:r w:rsidR="00310D44">
            <w:rPr>
              <w:rFonts w:ascii="Arial" w:eastAsia="Calibri" w:hAnsi="Arial" w:cs="Arial"/>
              <w:b/>
              <w:szCs w:val="20"/>
              <w:lang w:eastAsia="es-BO"/>
            </w:rPr>
            <w:t>PENALIDADES</w:t>
          </w:r>
          <w:r w:rsidR="00310D44" w:rsidRPr="00CD767F">
            <w:rPr>
              <w:rFonts w:ascii="Arial" w:eastAsia="Calibri" w:hAnsi="Arial" w:cs="Arial"/>
              <w:b/>
              <w:sz w:val="24"/>
              <w:szCs w:val="24"/>
              <w:lang w:eastAsia="es-BO"/>
            </w:rPr>
            <w:t xml:space="preserve"> </w:t>
          </w:r>
        </w:p>
      </w:tc>
    </w:tr>
  </w:tbl>
  <w:p w:rsidR="00310D44" w:rsidRDefault="00310D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D7B2F"/>
    <w:multiLevelType w:val="hybridMultilevel"/>
    <w:tmpl w:val="1B2CEC6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A5B50"/>
    <w:multiLevelType w:val="hybridMultilevel"/>
    <w:tmpl w:val="6B82C19A"/>
    <w:lvl w:ilvl="0" w:tplc="478AC6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90C6F"/>
    <w:multiLevelType w:val="hybridMultilevel"/>
    <w:tmpl w:val="BCC0B422"/>
    <w:lvl w:ilvl="0" w:tplc="EDD0FF8E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00A0017">
      <w:start w:val="1"/>
      <w:numFmt w:val="lowerLetter"/>
      <w:lvlText w:val="%2)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36"/>
    <w:rsid w:val="00060B89"/>
    <w:rsid w:val="000A3AD7"/>
    <w:rsid w:val="00185A60"/>
    <w:rsid w:val="00295337"/>
    <w:rsid w:val="002D4FF3"/>
    <w:rsid w:val="002F18EC"/>
    <w:rsid w:val="00305E11"/>
    <w:rsid w:val="00310D44"/>
    <w:rsid w:val="00341F06"/>
    <w:rsid w:val="0034603B"/>
    <w:rsid w:val="003D5984"/>
    <w:rsid w:val="005A33F0"/>
    <w:rsid w:val="00676545"/>
    <w:rsid w:val="007D49A2"/>
    <w:rsid w:val="00802B76"/>
    <w:rsid w:val="00827769"/>
    <w:rsid w:val="00866698"/>
    <w:rsid w:val="009A0677"/>
    <w:rsid w:val="009B2036"/>
    <w:rsid w:val="009E375A"/>
    <w:rsid w:val="00B039A3"/>
    <w:rsid w:val="00B3258A"/>
    <w:rsid w:val="00B367FB"/>
    <w:rsid w:val="00B4682D"/>
    <w:rsid w:val="00B65036"/>
    <w:rsid w:val="00B94BB9"/>
    <w:rsid w:val="00CB349A"/>
    <w:rsid w:val="00D336DC"/>
    <w:rsid w:val="00F83E51"/>
    <w:rsid w:val="00F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B902FD4-38C2-4970-8FC1-59B2BA72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D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D44"/>
  </w:style>
  <w:style w:type="paragraph" w:styleId="Piedepgina">
    <w:name w:val="footer"/>
    <w:basedOn w:val="Normal"/>
    <w:link w:val="PiedepginaCar"/>
    <w:uiPriority w:val="99"/>
    <w:unhideWhenUsed/>
    <w:rsid w:val="00310D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D44"/>
  </w:style>
  <w:style w:type="paragraph" w:styleId="Prrafodelista">
    <w:name w:val="List Paragraph"/>
    <w:aliases w:val="본문1,PARRAFO,titulo 5"/>
    <w:basedOn w:val="Normal"/>
    <w:link w:val="PrrafodelistaCar"/>
    <w:qFormat/>
    <w:rsid w:val="00866698"/>
    <w:pPr>
      <w:ind w:left="720"/>
      <w:contextualSpacing/>
    </w:pPr>
  </w:style>
  <w:style w:type="character" w:customStyle="1" w:styleId="PrrafodelistaCar">
    <w:name w:val="Párrafo de lista Car"/>
    <w:aliases w:val="본문1 Car,PARRAFO Car,titulo 5 Car"/>
    <w:link w:val="Prrafodelista"/>
    <w:locked/>
    <w:rsid w:val="002F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Lavadenz Molina</dc:creator>
  <cp:keywords/>
  <dc:description/>
  <cp:lastModifiedBy>Edwin Alejandro Loza Rodriguez</cp:lastModifiedBy>
  <cp:revision>10</cp:revision>
  <dcterms:created xsi:type="dcterms:W3CDTF">2016-02-11T15:15:00Z</dcterms:created>
  <dcterms:modified xsi:type="dcterms:W3CDTF">2019-08-30T20:31:00Z</dcterms:modified>
</cp:coreProperties>
</file>