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BDF0E" w14:textId="77777777" w:rsidR="0018775A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8775A">
        <w:rPr>
          <w:rFonts w:asciiTheme="minorHAnsi" w:hAnsiTheme="minorHAnsi" w:cstheme="minorHAnsi"/>
          <w:b/>
          <w:sz w:val="32"/>
          <w:szCs w:val="32"/>
        </w:rPr>
        <w:t xml:space="preserve">ESPECIFICACIONES TÉCNICAS PARA </w:t>
      </w:r>
    </w:p>
    <w:p w14:paraId="6F490B3B" w14:textId="4B3C5067" w:rsidR="003B18C3" w:rsidRPr="0018775A" w:rsidRDefault="0018775A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“</w:t>
      </w:r>
      <w:r w:rsidR="007A3CBB" w:rsidRPr="0018775A">
        <w:rPr>
          <w:rFonts w:asciiTheme="minorHAnsi" w:hAnsiTheme="minorHAnsi" w:cstheme="minorHAnsi"/>
          <w:b/>
          <w:sz w:val="32"/>
          <w:szCs w:val="32"/>
        </w:rPr>
        <w:t>ANULACION DE ACOMETIDAS CHUQUISACA</w:t>
      </w:r>
      <w:r>
        <w:rPr>
          <w:rFonts w:asciiTheme="minorHAnsi" w:hAnsiTheme="minorHAnsi" w:cstheme="minorHAnsi"/>
          <w:b/>
          <w:sz w:val="32"/>
          <w:szCs w:val="32"/>
        </w:rPr>
        <w:t>”</w:t>
      </w:r>
    </w:p>
    <w:p w14:paraId="6040C7B9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03AF6A0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0675D331" w14:textId="4F9727A6" w:rsidR="002F6DAC" w:rsidRPr="002F6DAC" w:rsidRDefault="002F6DAC" w:rsidP="002F6DAC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Los trabajos que debe ejecutar de manera general la EMPRESA CONTRATISTA son obras civiles para la anulación de abandonadas, previendo</w:t>
      </w:r>
      <w:r w:rsidR="007A3CB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esta forma </w:t>
      </w:r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cualquier eventualidad de riesgo potencial de daño o emergencia.</w:t>
      </w:r>
    </w:p>
    <w:p w14:paraId="7133A8AF" w14:textId="59E4E0F3" w:rsidR="002F6DAC" w:rsidRPr="002F6DAC" w:rsidRDefault="002F6DAC" w:rsidP="002F6DAC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Para la ejecución de obras civiles de la anulación de acometidas, la EMPRESA CONTRATISTA deberá movilizar su pers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onal y equipo a varias zonas de </w:t>
      </w:r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ciudad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Sucre, así como en las localidades: </w:t>
      </w:r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Yotala, </w:t>
      </w:r>
      <w:proofErr w:type="spellStart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Cachimayu</w:t>
      </w:r>
      <w:proofErr w:type="spellEnd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, Monteagudo, </w:t>
      </w:r>
      <w:proofErr w:type="spellStart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Muyupampa</w:t>
      </w:r>
      <w:proofErr w:type="spellEnd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, Camargo, Villa </w:t>
      </w:r>
      <w:proofErr w:type="spellStart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Abecia</w:t>
      </w:r>
      <w:proofErr w:type="spellEnd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, Las Carreras, Tarabuco, </w:t>
      </w:r>
      <w:proofErr w:type="spellStart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Yamparaez</w:t>
      </w:r>
      <w:proofErr w:type="spellEnd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, San Isidro, Presto, Molle </w:t>
      </w:r>
      <w:proofErr w:type="spellStart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Punku</w:t>
      </w:r>
      <w:proofErr w:type="spellEnd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, El Villar, San Pedro, </w:t>
      </w:r>
      <w:proofErr w:type="spellStart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Sopachuy</w:t>
      </w:r>
      <w:proofErr w:type="spellEnd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 </w:t>
      </w:r>
      <w:proofErr w:type="spellStart"/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Icla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, </w:t>
      </w:r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 acuerdo a instrucciones de YPFB. Posterior a los trabajos, la empresa contratista elaborará un informe detallado del antes y después de la ejecución de las obras civiles.</w:t>
      </w:r>
    </w:p>
    <w:p w14:paraId="6114199C" w14:textId="65DB3004" w:rsidR="008870D2" w:rsidRDefault="002F6DAC" w:rsidP="002F6DAC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2F6DAC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Todos los trabajos correspondientes a la ejecución de obras mecánicas (Soldadura de Polietileno), estarán a cargo de personal de YPFB.</w:t>
      </w:r>
    </w:p>
    <w:p w14:paraId="44B1777E" w14:textId="0F2DDD75" w:rsidR="002F6DAC" w:rsidRDefault="002F6DAC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276C6F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277B458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2689"/>
        <w:gridCol w:w="5997"/>
      </w:tblGrid>
      <w:tr w:rsidR="008870D2" w:rsidRPr="007557DB" w14:paraId="54CEAA14" w14:textId="77777777" w:rsidTr="0018775A">
        <w:trPr>
          <w:trHeight w:val="189"/>
        </w:trPr>
        <w:tc>
          <w:tcPr>
            <w:tcW w:w="1548" w:type="pct"/>
            <w:shd w:val="clear" w:color="auto" w:fill="44546A" w:themeFill="text2"/>
            <w:vAlign w:val="center"/>
          </w:tcPr>
          <w:p w14:paraId="154E5B87" w14:textId="77777777" w:rsidR="008870D2" w:rsidRPr="005B5F95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3452" w:type="pct"/>
            <w:shd w:val="clear" w:color="auto" w:fill="44546A" w:themeFill="text2"/>
            <w:vAlign w:val="center"/>
          </w:tcPr>
          <w:p w14:paraId="7A1A0F6C" w14:textId="77777777" w:rsidR="008870D2" w:rsidRPr="005B5F95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 xml:space="preserve">DATO </w:t>
            </w:r>
          </w:p>
        </w:tc>
      </w:tr>
      <w:tr w:rsidR="008870D2" w:rsidRPr="007557DB" w14:paraId="4E1C465C" w14:textId="77777777" w:rsidTr="0018775A">
        <w:trPr>
          <w:trHeight w:val="189"/>
        </w:trPr>
        <w:tc>
          <w:tcPr>
            <w:tcW w:w="1548" w:type="pct"/>
            <w:vAlign w:val="center"/>
          </w:tcPr>
          <w:p w14:paraId="175FA73F" w14:textId="3875239F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  <w:r w:rsidR="00593CD8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s</w:t>
            </w:r>
          </w:p>
        </w:tc>
        <w:tc>
          <w:tcPr>
            <w:tcW w:w="3452" w:type="pct"/>
            <w:vAlign w:val="center"/>
          </w:tcPr>
          <w:p w14:paraId="4B9FD787" w14:textId="22A202FD" w:rsidR="008870D2" w:rsidRPr="00622011" w:rsidRDefault="002F6DAC" w:rsidP="00593CD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Sucre, </w:t>
            </w:r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Yotala, </w:t>
            </w:r>
            <w:proofErr w:type="spellStart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Cachimayu</w:t>
            </w:r>
            <w:proofErr w:type="spellEnd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, Monteagudo, </w:t>
            </w:r>
            <w:proofErr w:type="spellStart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Muyupampa</w:t>
            </w:r>
            <w:proofErr w:type="spellEnd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, Camargo, Villa </w:t>
            </w:r>
            <w:proofErr w:type="spellStart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Abecia</w:t>
            </w:r>
            <w:proofErr w:type="spellEnd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, Las Carreras, Tarabuco, </w:t>
            </w:r>
            <w:proofErr w:type="spellStart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Yamparaez</w:t>
            </w:r>
            <w:proofErr w:type="spellEnd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, San Isidro, Presto, Molle </w:t>
            </w:r>
            <w:proofErr w:type="spellStart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Punku</w:t>
            </w:r>
            <w:proofErr w:type="spellEnd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, El Villar, San Pedro, </w:t>
            </w:r>
            <w:proofErr w:type="spellStart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Sopachuy</w:t>
            </w:r>
            <w:proofErr w:type="spellEnd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e </w:t>
            </w:r>
            <w:proofErr w:type="spellStart"/>
            <w:r w:rsidRPr="002F6DA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Icla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</w:p>
        </w:tc>
      </w:tr>
    </w:tbl>
    <w:p w14:paraId="48E7B032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B5F4766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11432113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575883AF" w14:textId="77777777" w:rsidR="00DB5727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0BC56DCB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79C0A9BC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6F3C9757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0286E32A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54D04F1A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3011CCAE" w14:textId="2B9B8C54" w:rsidR="00DB5727" w:rsidRPr="007A3CBB" w:rsidRDefault="007A3CBB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7A3CBB">
              <w:rPr>
                <w:rFonts w:asciiTheme="minorHAnsi" w:hAnsiTheme="minorHAnsi" w:cstheme="minorHAnsi"/>
                <w:sz w:val="22"/>
                <w:szCs w:val="22"/>
              </w:rPr>
              <w:t>ANULACION DE ACOMETIDAS CHUQUISACA</w:t>
            </w:r>
          </w:p>
        </w:tc>
        <w:tc>
          <w:tcPr>
            <w:tcW w:w="1724" w:type="pct"/>
            <w:vAlign w:val="center"/>
          </w:tcPr>
          <w:p w14:paraId="35E60811" w14:textId="1B0477E0" w:rsidR="00DB5727" w:rsidRPr="00622011" w:rsidRDefault="002F6DAC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40</w:t>
            </w:r>
          </w:p>
        </w:tc>
      </w:tr>
    </w:tbl>
    <w:p w14:paraId="56776F36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EF2517E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712D37AC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EBDA6B6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máximo 20 días calendario para subsanar las deficiencias, anomalías, imperfecciones y observaciones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lastRenderedPageBreak/>
        <w:t>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401E875E" w14:textId="77777777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6E3C04E0" w14:textId="2F90B501" w:rsidR="00230B9B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5504"/>
        <w:gridCol w:w="1134"/>
        <w:gridCol w:w="992"/>
      </w:tblGrid>
      <w:tr w:rsidR="00BE1FBB" w:rsidRPr="00BE1FBB" w14:paraId="6D106F20" w14:textId="77777777" w:rsidTr="0018775A">
        <w:trPr>
          <w:trHeight w:val="360"/>
          <w:jc w:val="center"/>
        </w:trPr>
        <w:tc>
          <w:tcPr>
            <w:tcW w:w="80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E4881" w14:textId="78D7B646" w:rsidR="00BE1FBB" w:rsidRPr="00BE1FBB" w:rsidRDefault="00BE1FBB" w:rsidP="00BE1FBB">
            <w:pPr>
              <w:jc w:val="center"/>
              <w:rPr>
                <w:rFonts w:ascii="Agency FB" w:hAnsi="Agency FB" w:cs="Calibri"/>
                <w:b/>
                <w:bCs/>
                <w:color w:val="000000"/>
                <w:lang w:val="es-BO" w:eastAsia="es-BO"/>
              </w:rPr>
            </w:pPr>
            <w:r w:rsidRPr="00BE1FBB">
              <w:rPr>
                <w:rFonts w:ascii="Agency FB" w:hAnsi="Agency FB" w:cs="Calibri"/>
                <w:b/>
                <w:bCs/>
                <w:color w:val="000000"/>
                <w:lang w:val="es-BO" w:eastAsia="es-BO"/>
              </w:rPr>
              <w:t xml:space="preserve">" ANULACION DE ACOMETIDAS CHUQUISACA” </w:t>
            </w:r>
          </w:p>
        </w:tc>
      </w:tr>
      <w:tr w:rsidR="00BE1FBB" w:rsidRPr="00BE1FBB" w14:paraId="29A25C8F" w14:textId="77777777" w:rsidTr="0018775A">
        <w:trPr>
          <w:trHeight w:val="315"/>
          <w:jc w:val="center"/>
        </w:trPr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23E4F" w:themeFill="text2" w:themeFillShade="BF"/>
            <w:noWrap/>
            <w:vAlign w:val="center"/>
            <w:hideMark/>
          </w:tcPr>
          <w:p w14:paraId="2A841EE7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b/>
                <w:bCs/>
                <w:color w:val="FFFFFF"/>
                <w:sz w:val="20"/>
                <w:szCs w:val="20"/>
                <w:lang w:val="es-BO" w:eastAsia="es-BO"/>
              </w:rPr>
              <w:t>GENERAL</w:t>
            </w:r>
          </w:p>
        </w:tc>
      </w:tr>
      <w:tr w:rsidR="0018775A" w:rsidRPr="00BE1FBB" w14:paraId="1AFF0B1B" w14:textId="77777777" w:rsidTr="0018775A">
        <w:trPr>
          <w:trHeight w:val="870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23E4F" w:themeFill="text2" w:themeFillShade="BF"/>
            <w:noWrap/>
            <w:vAlign w:val="center"/>
            <w:hideMark/>
          </w:tcPr>
          <w:p w14:paraId="54C5AF37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b/>
                <w:bCs/>
                <w:color w:val="FFFFFF"/>
                <w:sz w:val="20"/>
                <w:szCs w:val="20"/>
                <w:lang w:val="es-BO" w:eastAsia="es-BO"/>
              </w:rPr>
              <w:t>ITEM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23E4F" w:themeFill="text2" w:themeFillShade="BF"/>
            <w:noWrap/>
            <w:vAlign w:val="center"/>
            <w:hideMark/>
          </w:tcPr>
          <w:p w14:paraId="3EDFC5F2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b/>
                <w:bCs/>
                <w:color w:val="FFFFFF"/>
                <w:sz w:val="20"/>
                <w:szCs w:val="20"/>
                <w:lang w:val="es-BO" w:eastAsia="es-BO"/>
              </w:rPr>
              <w:t>DESCRIPCION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23E4F" w:themeFill="text2" w:themeFillShade="BF"/>
            <w:noWrap/>
            <w:vAlign w:val="center"/>
            <w:hideMark/>
          </w:tcPr>
          <w:p w14:paraId="29B99D26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b/>
                <w:bCs/>
                <w:color w:val="FFFFFF"/>
                <w:sz w:val="20"/>
                <w:szCs w:val="20"/>
                <w:lang w:val="es-BO" w:eastAsia="es-BO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23E4F" w:themeFill="text2" w:themeFillShade="BF"/>
            <w:noWrap/>
            <w:vAlign w:val="center"/>
            <w:hideMark/>
          </w:tcPr>
          <w:p w14:paraId="50CE722D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b/>
                <w:bCs/>
                <w:color w:val="FFFFFF"/>
                <w:sz w:val="20"/>
                <w:szCs w:val="20"/>
                <w:lang w:val="es-BO" w:eastAsia="es-BO"/>
              </w:rPr>
              <w:t>CANTIDAD</w:t>
            </w:r>
          </w:p>
        </w:tc>
      </w:tr>
      <w:tr w:rsidR="00BE1FBB" w:rsidRPr="00BE1FBB" w14:paraId="7535554E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9CDB8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5ED8D" w14:textId="77777777" w:rsidR="00BE1FBB" w:rsidRPr="00BE1FBB" w:rsidRDefault="00BE1FBB" w:rsidP="00BE1FBB">
            <w:pPr>
              <w:jc w:val="both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MOVILIZACION DE EQUIPO Y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70EAB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Global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A84CC" w14:textId="77777777" w:rsidR="00BE1FBB" w:rsidRPr="00BE1FBB" w:rsidRDefault="00BE1FBB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1.00</w:t>
            </w:r>
          </w:p>
        </w:tc>
      </w:tr>
      <w:tr w:rsidR="00BE1FBB" w:rsidRPr="00BE1FBB" w14:paraId="53B2E012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69151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18D31" w14:textId="77777777" w:rsidR="00BE1FBB" w:rsidRPr="00BE1FBB" w:rsidRDefault="00BE1FBB" w:rsidP="00BE1FBB">
            <w:pPr>
              <w:jc w:val="both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REPLANTEO Y/O TRAZADO TOPOGRAFICO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2768D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Global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AF2D6" w14:textId="77777777" w:rsidR="00BE1FBB" w:rsidRPr="00BE1FBB" w:rsidRDefault="00BE1FBB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1.00</w:t>
            </w:r>
          </w:p>
        </w:tc>
      </w:tr>
      <w:tr w:rsidR="00BE1FBB" w:rsidRPr="00BE1FBB" w14:paraId="46F7B2DA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AF4B3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A288F" w14:textId="77777777" w:rsidR="00BE1FBB" w:rsidRPr="00BE1FBB" w:rsidRDefault="00BE1FBB" w:rsidP="00BE1FBB">
            <w:pPr>
              <w:jc w:val="both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EXCAVACIÓN DE ZANJA TERRENO BLANDO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2ABE7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m³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96800" w14:textId="2043D759" w:rsidR="00BE1FBB" w:rsidRPr="00BE1FBB" w:rsidRDefault="00AE0BC4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196</w:t>
            </w:r>
            <w:r w:rsidR="00BE1FBB"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.00</w:t>
            </w:r>
          </w:p>
        </w:tc>
      </w:tr>
      <w:tr w:rsidR="00BE1FBB" w:rsidRPr="00BE1FBB" w14:paraId="2EC91E76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52080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C9708" w14:textId="77777777" w:rsidR="00BE1FBB" w:rsidRPr="00BE1FBB" w:rsidRDefault="00BE1FBB" w:rsidP="00BE1FBB">
            <w:pPr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RELLENO Y COMPACTADO DE ZANJA CON TIERRA COMÚN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E127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m³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C6770" w14:textId="791DA7C3" w:rsidR="00BE1FBB" w:rsidRPr="00BE1FBB" w:rsidRDefault="00AE0BC4" w:rsidP="00AE0BC4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107</w:t>
            </w:r>
            <w:r w:rsidR="00BE1FBB"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.</w:t>
            </w:r>
            <w:r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8</w:t>
            </w:r>
            <w:r w:rsidR="00BE1FBB"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0</w:t>
            </w:r>
          </w:p>
        </w:tc>
      </w:tr>
      <w:tr w:rsidR="00BE1FBB" w:rsidRPr="00BE1FBB" w14:paraId="24BC19BC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2687C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5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522A" w14:textId="77777777" w:rsidR="00BE1FBB" w:rsidRPr="00BE1FBB" w:rsidRDefault="00BE1FBB" w:rsidP="00BE1FBB">
            <w:pPr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PROVISION, RELLENO Y COMPACTADO DE ZANJA CON MATERIAL FINO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FC523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m³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AAC2E" w14:textId="4F2C0369" w:rsidR="00BE1FBB" w:rsidRPr="00BE1FBB" w:rsidRDefault="00AE0BC4" w:rsidP="00AE0BC4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68</w:t>
            </w:r>
            <w:r w:rsidR="00BE1FBB"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.</w:t>
            </w:r>
            <w:r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6</w:t>
            </w:r>
            <w:r w:rsidR="00BE1FBB"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0</w:t>
            </w:r>
          </w:p>
        </w:tc>
      </w:tr>
      <w:tr w:rsidR="00BE1FBB" w:rsidRPr="00BE1FBB" w14:paraId="547D3C85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3FD8A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6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7278" w14:textId="77777777" w:rsidR="00BE1FBB" w:rsidRPr="00BE1FBB" w:rsidRDefault="00BE1FBB" w:rsidP="00BE1FBB">
            <w:pPr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CORTE , ROTURA Y REMOCION DE ACERA Y/O CUNETA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E4F8B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E5B31" w14:textId="77777777" w:rsidR="00BE1FBB" w:rsidRPr="00BE1FBB" w:rsidRDefault="00BE1FBB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50.00</w:t>
            </w:r>
          </w:p>
        </w:tc>
      </w:tr>
      <w:tr w:rsidR="00BE1FBB" w:rsidRPr="00BE1FBB" w14:paraId="1648DCFB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78C5C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7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0A1A7" w14:textId="77777777" w:rsidR="00BE1FBB" w:rsidRPr="00BE1FBB" w:rsidRDefault="00BE1FBB" w:rsidP="00BE1FBB">
            <w:pPr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REPOSICIÓN Y AFINADO DE ACERA Y/O CUNETA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63A7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9CB4B" w14:textId="77777777" w:rsidR="00BE1FBB" w:rsidRPr="00BE1FBB" w:rsidRDefault="00BE1FBB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50.00</w:t>
            </w:r>
          </w:p>
        </w:tc>
      </w:tr>
      <w:tr w:rsidR="00BE1FBB" w:rsidRPr="00BE1FBB" w14:paraId="19B65AC4" w14:textId="77777777" w:rsidTr="00BE1FBB">
        <w:trPr>
          <w:trHeight w:val="32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4FC5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8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AF016" w14:textId="77777777" w:rsidR="00BE1FBB" w:rsidRPr="00BE1FBB" w:rsidRDefault="00BE1FBB" w:rsidP="00BE1FBB">
            <w:pPr>
              <w:jc w:val="both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 xml:space="preserve">CORTE, ROTURA Y REMOCION DE CERÁMICA ,BALDOSAS Y/O CORTEZAS ESPECIALES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96CAF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B569B" w14:textId="77777777" w:rsidR="00BE1FBB" w:rsidRPr="00BE1FBB" w:rsidRDefault="00BE1FBB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10.00</w:t>
            </w:r>
          </w:p>
        </w:tc>
      </w:tr>
      <w:tr w:rsidR="00BE1FBB" w:rsidRPr="00BE1FBB" w14:paraId="113DF86E" w14:textId="77777777" w:rsidTr="00BE1FBB">
        <w:trPr>
          <w:trHeight w:val="401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4DE9C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9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CAC23" w14:textId="77777777" w:rsidR="00BE1FBB" w:rsidRPr="00BE1FBB" w:rsidRDefault="00BE1FBB" w:rsidP="00BE1FBB">
            <w:pPr>
              <w:jc w:val="both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REPOSICION DE CERÁMICA, BALDOSAS Y/O CORTEZAS ESPECIALES C/PROVISION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8DA9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B6928" w14:textId="77777777" w:rsidR="00BE1FBB" w:rsidRPr="00BE1FBB" w:rsidRDefault="00BE1FBB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10.00</w:t>
            </w:r>
          </w:p>
        </w:tc>
      </w:tr>
      <w:tr w:rsidR="00BE1FBB" w:rsidRPr="00BE1FBB" w14:paraId="05060A22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3FB9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10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952AF" w14:textId="77777777" w:rsidR="00BE1FBB" w:rsidRPr="00BE1FBB" w:rsidRDefault="00BE1FBB" w:rsidP="00BE1FBB">
            <w:pPr>
              <w:jc w:val="both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PICADO DE MURO DE LADRILLO CON CERAMICA/MOSAICO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5B914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DBE7" w14:textId="77777777" w:rsidR="00BE1FBB" w:rsidRPr="00BE1FBB" w:rsidRDefault="00BE1FBB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9.88</w:t>
            </w:r>
          </w:p>
        </w:tc>
      </w:tr>
      <w:tr w:rsidR="00BE1FBB" w:rsidRPr="00BE1FBB" w14:paraId="04BF5145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F6C54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11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B245" w14:textId="77777777" w:rsidR="00BE1FBB" w:rsidRPr="00BE1FBB" w:rsidRDefault="00BE1FBB" w:rsidP="00BE1FBB">
            <w:pPr>
              <w:jc w:val="both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REPOSICION DE MURO DE LADRILLO CON CERAMICA/MOSAICO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30683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DBCC3" w14:textId="77777777" w:rsidR="00BE1FBB" w:rsidRPr="00BE1FBB" w:rsidRDefault="00BE1FBB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9.88</w:t>
            </w:r>
          </w:p>
        </w:tc>
      </w:tr>
      <w:tr w:rsidR="00BE1FBB" w:rsidRPr="00BE1FBB" w14:paraId="34D19BD7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D8208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12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4F10" w14:textId="77777777" w:rsidR="00BE1FBB" w:rsidRPr="00BE1FBB" w:rsidRDefault="00BE1FBB" w:rsidP="00BE1FBB">
            <w:pPr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PROVISION y COLOCADO DE CINTA DE SEÑALIZACIÓN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FF0B4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05B3" w14:textId="0B4D786E" w:rsidR="00BE1FBB" w:rsidRPr="00BE1FBB" w:rsidRDefault="00AE0BC4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196</w:t>
            </w:r>
            <w:r w:rsidR="00BE1FBB"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.00</w:t>
            </w:r>
          </w:p>
        </w:tc>
      </w:tr>
      <w:tr w:rsidR="00BE1FBB" w:rsidRPr="00BE1FBB" w14:paraId="26690E1B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4B96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13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BA73" w14:textId="77777777" w:rsidR="00BE1FBB" w:rsidRPr="00BE1FBB" w:rsidRDefault="00BE1FBB" w:rsidP="00BE1FBB">
            <w:pPr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ELABORACION DE PLANOS AS-BUILT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1720B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Global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E689" w14:textId="77777777" w:rsidR="00BE1FBB" w:rsidRPr="00BE1FBB" w:rsidRDefault="00BE1FBB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1.00</w:t>
            </w:r>
          </w:p>
        </w:tc>
      </w:tr>
      <w:tr w:rsidR="00BE1FBB" w:rsidRPr="00BE1FBB" w14:paraId="0F14B75A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EF0B6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14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33DC" w14:textId="77777777" w:rsidR="00BE1FBB" w:rsidRPr="00BE1FBB" w:rsidRDefault="00BE1FBB" w:rsidP="00BE1FBB">
            <w:pPr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ELABORACION  DATA BOOK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34C2D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Global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E183E" w14:textId="77777777" w:rsidR="00BE1FBB" w:rsidRPr="00BE1FBB" w:rsidRDefault="00BE1FBB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1.00</w:t>
            </w:r>
          </w:p>
        </w:tc>
      </w:tr>
      <w:tr w:rsidR="00BE1FBB" w:rsidRPr="00BE1FBB" w14:paraId="54613E50" w14:textId="77777777" w:rsidTr="00BE1FBB">
        <w:trPr>
          <w:trHeight w:val="315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AD59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15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E4E9" w14:textId="77777777" w:rsidR="00BE1FBB" w:rsidRPr="00BE1FBB" w:rsidRDefault="00BE1FBB" w:rsidP="00BE1FBB">
            <w:pPr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 xml:space="preserve">LIMPIEZA Y RETIRO DE ESCOMBROS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6D41" w14:textId="77777777" w:rsidR="00BE1FBB" w:rsidRPr="00BE1FBB" w:rsidRDefault="00BE1FBB" w:rsidP="00BE1FBB">
            <w:pPr>
              <w:jc w:val="center"/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color w:val="000000"/>
                <w:sz w:val="20"/>
                <w:szCs w:val="20"/>
                <w:lang w:val="es-BO" w:eastAsia="es-BO"/>
              </w:rPr>
              <w:t>Global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60957" w14:textId="77777777" w:rsidR="00BE1FBB" w:rsidRPr="00BE1FBB" w:rsidRDefault="00BE1FBB" w:rsidP="00BE1FBB">
            <w:pPr>
              <w:jc w:val="right"/>
              <w:rPr>
                <w:rFonts w:ascii="Agency FB" w:hAnsi="Agency FB" w:cs="Calibri"/>
                <w:sz w:val="20"/>
                <w:szCs w:val="20"/>
                <w:lang w:val="es-BO" w:eastAsia="es-BO"/>
              </w:rPr>
            </w:pPr>
            <w:r w:rsidRPr="00BE1FBB">
              <w:rPr>
                <w:rFonts w:ascii="Agency FB" w:hAnsi="Agency FB" w:cs="Calibri"/>
                <w:sz w:val="20"/>
                <w:szCs w:val="20"/>
                <w:lang w:val="es-BO" w:eastAsia="es-BO"/>
              </w:rPr>
              <w:t>1.00</w:t>
            </w:r>
          </w:p>
        </w:tc>
      </w:tr>
    </w:tbl>
    <w:p w14:paraId="5D7CB7C3" w14:textId="22A4F4C9" w:rsidR="007A3CBB" w:rsidRDefault="007A3CB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BB5D39C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983F2BF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45298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3EE15674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BE73AF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668EEB8" w14:textId="6CA7A002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BE1FBB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continuación,</w:t>
      </w: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detalla el equipo mínimo requerido para la ejecución de la obra.</w:t>
      </w:r>
    </w:p>
    <w:p w14:paraId="129AE323" w14:textId="4A24293A" w:rsidR="00230B9B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84E7EBE" w14:textId="4555D9D8" w:rsidR="00BE1FBB" w:rsidRDefault="00BE1FB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930A04" w14:textId="5C27C969" w:rsidR="00BE1FBB" w:rsidRDefault="00BE1FB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66AEFC" w14:textId="77777777" w:rsidR="00BE1FBB" w:rsidRPr="009E20B4" w:rsidRDefault="00BE1FB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B086478" w14:textId="77777777" w:rsidR="00230B9B" w:rsidRPr="009E20B4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lastRenderedPageBreak/>
        <w:t>EQUIPO MÍNIMO REQUERIDO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810"/>
        <w:gridCol w:w="2161"/>
        <w:gridCol w:w="2166"/>
      </w:tblGrid>
      <w:tr w:rsidR="00230B9B" w:rsidRPr="008D6BD3" w14:paraId="5253423C" w14:textId="77777777" w:rsidTr="008D6BD3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6C03369E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6FFD0E01" w14:textId="77777777" w:rsidTr="008D6BD3">
        <w:trPr>
          <w:trHeight w:val="135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5F20D4EE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0995A63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4D15B00B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540F74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553E3E97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5A0F3CC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159BF81D" w14:textId="2E43A676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Camioneta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B8A2523" w14:textId="07A727C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1DBF76D3" w14:textId="71732CF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Movilidad</w:t>
            </w:r>
          </w:p>
        </w:tc>
      </w:tr>
      <w:tr w:rsidR="00AE38DD" w:rsidRPr="008D6BD3" w14:paraId="1FCD3080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4FF3FAB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DE588AE" w14:textId="32CF9CDD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Cortadora de disco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49B96B61" w14:textId="32ADAB7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69593EDA" w14:textId="6A905E16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1322758F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1DCA6948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935AD45" w14:textId="67445797" w:rsidR="00C57196" w:rsidRPr="00C57196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Generador eléctrico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B452029" w14:textId="4B97306C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5EF948B" w14:textId="3F765CEA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8D6BD3" w14:paraId="42E91A25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316AC337" w14:textId="260C6EC8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7CFEA8C" w14:textId="039CD21D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Martillo perforador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E65E755" w14:textId="62C342F3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166885FE" w14:textId="6611F792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8D6BD3" w14:paraId="15D833C0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2C04B95B" w14:textId="4602C0ED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4C4799B2" w14:textId="61C19B6E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Mezcladora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1E01FFF" w14:textId="02296A51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3E386DC7" w14:textId="3AD75E91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8D6BD3" w14:paraId="479B9B07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4FD06E3C" w14:textId="101A988D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0A21CED7" w14:textId="37973BAD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Compactadora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4E08B5D1" w14:textId="77EC3CEA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3F33F71B" w14:textId="3819D2D0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8D6BD3" w14:paraId="6BC84B2F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22461907" w14:textId="675B1E61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763AF7EF" w14:textId="593CAC34" w:rsidR="00730EAC" w:rsidRPr="002F6DAC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2F6DA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Tanque de almacenamiento de agua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4F467639" w14:textId="09E0590E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5D323FD9" w14:textId="7353A72E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Pieza</w:t>
            </w:r>
          </w:p>
        </w:tc>
      </w:tr>
      <w:tr w:rsidR="00730EAC" w:rsidRPr="008D6BD3" w14:paraId="6130FC73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7DF944BA" w14:textId="2DA9622E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5ECEA11C" w14:textId="4C74D6B5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GPS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38078DA8" w14:textId="7EC52754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14D241BF" w14:textId="6B418CFD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230B9B" w14:paraId="702238E2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2F51AD3B" w14:textId="56284A9D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6B6F8806" w14:textId="395DA982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Cámara fotográfica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30C234FC" w14:textId="6C82D004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2577631E" w14:textId="4CCABAB9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230B9B" w14:paraId="591EC9EF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51619E04" w14:textId="0D35C505" w:rsidR="00730EAC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28F7D061" w14:textId="031CB7A3" w:rsidR="00730EAC" w:rsidRPr="008D6BD3" w:rsidRDefault="002F6D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Volqueta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4601D34F" w14:textId="7DE5DE30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4F144EC5" w14:textId="42368C28" w:rsidR="00730EAC" w:rsidRPr="008D6BD3" w:rsidRDefault="002F6D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Movilidad</w:t>
            </w:r>
          </w:p>
        </w:tc>
      </w:tr>
      <w:tr w:rsidR="00730EAC" w:rsidRPr="008D6BD3" w14:paraId="02C288B2" w14:textId="77777777" w:rsidTr="008D6BD3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BED1EC6" w14:textId="77777777" w:rsidR="00730EAC" w:rsidRPr="008D6BD3" w:rsidRDefault="00730EAC" w:rsidP="00730EA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7C02C464" w14:textId="77777777" w:rsidR="00230B9B" w:rsidRPr="009E20B4" w:rsidRDefault="00230B9B" w:rsidP="00230B9B">
      <w:pPr>
        <w:pStyle w:val="Prrafodelista"/>
        <w:tabs>
          <w:tab w:val="left" w:pos="993"/>
        </w:tabs>
        <w:spacing w:line="276" w:lineRule="auto"/>
        <w:ind w:left="993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EE1ADAF" w14:textId="3595E523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</w:t>
      </w:r>
      <w:r w:rsidR="00BE1FBB" w:rsidRPr="00D328C5">
        <w:rPr>
          <w:rFonts w:asciiTheme="minorHAnsi" w:hAnsiTheme="minorHAnsi" w:cstheme="minorHAnsi"/>
          <w:b/>
          <w:bCs/>
          <w:sz w:val="22"/>
          <w:szCs w:val="22"/>
        </w:rPr>
        <w:t>OBLIGATORIO,</w:t>
      </w: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 PERO NO SUJETO A EVALUACION)</w:t>
      </w:r>
    </w:p>
    <w:p w14:paraId="72D0F254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D85F6" w14:textId="77777777" w:rsidR="00230B9B" w:rsidRPr="009E20B4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AE38DD" w:rsidRPr="008D6BD3" w14:paraId="6F6A622A" w14:textId="77777777" w:rsidTr="008D6BD3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7391B8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24E2499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182CD748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0B4BA0F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E38DD" w:rsidRPr="008D6BD3" w14:paraId="7467A0F3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4E7EE" w14:textId="02357502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71828D45" w14:textId="44454E3B" w:rsidR="00AE38DD" w:rsidRPr="008D6BD3" w:rsidRDefault="001F123A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Chofer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38727AEA" w14:textId="7B3F475A" w:rsidR="00AE38DD" w:rsidRPr="008D6BD3" w:rsidRDefault="001F123A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1AE23DC0" w14:textId="42B79CED" w:rsidR="00AE38DD" w:rsidRPr="008D6BD3" w:rsidRDefault="00BE1FB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6E5D9B7E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7EF1" w14:textId="57D68CE4" w:rsidR="001F123A" w:rsidRPr="008D6BD3" w:rsidRDefault="001F12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1690B659" w14:textId="4B6D764C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Albañil</w:t>
            </w:r>
          </w:p>
        </w:tc>
        <w:tc>
          <w:tcPr>
            <w:tcW w:w="1703" w:type="pct"/>
            <w:shd w:val="clear" w:color="auto" w:fill="auto"/>
          </w:tcPr>
          <w:p w14:paraId="48B04328" w14:textId="5BB04249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D0D32AB" w14:textId="17812723" w:rsidR="001F123A" w:rsidRPr="008D6BD3" w:rsidRDefault="00DB4CF0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135ED" w:rsidRPr="008D6BD3" w14:paraId="28D713E9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040EF" w14:textId="5CE7E563" w:rsidR="00B135ED" w:rsidRPr="008D6BD3" w:rsidRDefault="00B135ED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3CB7C25A" w14:textId="73DFCD20" w:rsidR="00B135ED" w:rsidRDefault="00B135ED" w:rsidP="00B135E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Peón</w:t>
            </w:r>
          </w:p>
        </w:tc>
        <w:tc>
          <w:tcPr>
            <w:tcW w:w="1703" w:type="pct"/>
            <w:shd w:val="clear" w:color="auto" w:fill="auto"/>
          </w:tcPr>
          <w:p w14:paraId="70A7D301" w14:textId="387AFCF1" w:rsidR="00B135ED" w:rsidRDefault="00B135ED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156C52C" w14:textId="6850EED4" w:rsidR="00B135ED" w:rsidRDefault="00B135ED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135ED" w:rsidRPr="008D6BD3" w14:paraId="77653F2C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53F4E" w14:textId="77777777" w:rsid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791A4D54" w14:textId="3384158C" w:rsidR="00B135ED" w:rsidRDefault="00B135ED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B135E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Operador de Cortadora de Disco</w:t>
            </w:r>
          </w:p>
        </w:tc>
        <w:tc>
          <w:tcPr>
            <w:tcW w:w="1703" w:type="pct"/>
            <w:shd w:val="clear" w:color="auto" w:fill="auto"/>
          </w:tcPr>
          <w:p w14:paraId="01157FFD" w14:textId="6133C8C7" w:rsidR="00B135ED" w:rsidRP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598" w:type="pct"/>
            <w:vAlign w:val="center"/>
          </w:tcPr>
          <w:p w14:paraId="30DBB2C0" w14:textId="3E6C26D8" w:rsid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43D22F86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314A8" w14:textId="475800A6" w:rsidR="001F123A" w:rsidRPr="008D6BD3" w:rsidRDefault="001F12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14DC2975" w14:textId="4DE1A0BC" w:rsidR="001F123A" w:rsidRPr="008D6BD3" w:rsidRDefault="00B135ED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35ED">
              <w:rPr>
                <w:rFonts w:asciiTheme="minorHAnsi" w:hAnsiTheme="minorHAnsi" w:cstheme="minorHAnsi"/>
                <w:sz w:val="18"/>
                <w:szCs w:val="18"/>
              </w:rPr>
              <w:t>Operador de Martillo Perforador</w:t>
            </w:r>
          </w:p>
        </w:tc>
        <w:tc>
          <w:tcPr>
            <w:tcW w:w="1703" w:type="pct"/>
            <w:shd w:val="clear" w:color="auto" w:fill="auto"/>
          </w:tcPr>
          <w:p w14:paraId="5D2F185D" w14:textId="6D3B7253" w:rsidR="001F123A" w:rsidRPr="008D6BD3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2C67DBA" w14:textId="63D3ED21" w:rsidR="001F123A" w:rsidRPr="008D6BD3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B135ED" w:rsidRPr="008D6BD3" w14:paraId="1C9CFD5D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DBAC7" w14:textId="77777777" w:rsidR="00B135ED" w:rsidRPr="008D6BD3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74D3307E" w14:textId="15D91D75" w:rsidR="00B135ED" w:rsidRPr="00B135ED" w:rsidRDefault="00B135ED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35ED">
              <w:rPr>
                <w:rFonts w:asciiTheme="minorHAnsi" w:hAnsiTheme="minorHAnsi" w:cstheme="minorHAnsi"/>
                <w:sz w:val="18"/>
                <w:szCs w:val="18"/>
              </w:rPr>
              <w:t>Operador de Compactadora</w:t>
            </w:r>
          </w:p>
        </w:tc>
        <w:tc>
          <w:tcPr>
            <w:tcW w:w="1703" w:type="pct"/>
            <w:shd w:val="clear" w:color="auto" w:fill="auto"/>
          </w:tcPr>
          <w:p w14:paraId="64F8478F" w14:textId="454BD431" w:rsid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3DE2778" w14:textId="0918289B" w:rsid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6C3F2B5B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5F155" w14:textId="161DB98C" w:rsidR="001F123A" w:rsidRPr="008D6BD3" w:rsidRDefault="001F12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54B838EC" w14:textId="1D57CFFB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Responsable de Seguridad y Medio Ambiente</w:t>
            </w:r>
          </w:p>
        </w:tc>
        <w:tc>
          <w:tcPr>
            <w:tcW w:w="1703" w:type="pct"/>
            <w:shd w:val="clear" w:color="auto" w:fill="auto"/>
          </w:tcPr>
          <w:p w14:paraId="3A6C9711" w14:textId="57D5C3B6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especializado en Seguridad Industrial y Medio Ambiente</w:t>
            </w:r>
          </w:p>
        </w:tc>
        <w:tc>
          <w:tcPr>
            <w:tcW w:w="1598" w:type="pct"/>
            <w:vAlign w:val="center"/>
          </w:tcPr>
          <w:p w14:paraId="72EC3F24" w14:textId="5177B6F0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59AC8C11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64D2E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7A4BB1DA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4F2F7B9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4753320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846EB46" w14:textId="77777777" w:rsidR="00074D8E" w:rsidRPr="00074D8E" w:rsidRDefault="00230B9B" w:rsidP="007A3CBB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</w:p>
    <w:p w14:paraId="636FEEA1" w14:textId="15BE34ED" w:rsidR="00230B9B" w:rsidRDefault="00103268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>En el Anexo 2</w:t>
      </w:r>
      <w:r w:rsidR="00230B9B"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074D8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414615" w14:textId="77777777" w:rsid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C0523D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391FC9CC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D7692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EXPERIENCIA DE LA EMPRESA </w:t>
      </w:r>
    </w:p>
    <w:p w14:paraId="350A8240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F33A877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2BD2C78E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46273D4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50023573" w14:textId="028E40C6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18775A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del</w:t>
      </w:r>
      <w:r w:rsidR="0018775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</w:t>
      </w:r>
      <w:r w:rsidR="0018775A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cero </w:t>
      </w:r>
      <w:r w:rsidR="0018775A">
        <w:rPr>
          <w:rFonts w:asciiTheme="minorHAnsi" w:hAnsiTheme="minorHAnsi" w:cstheme="minorHAnsi"/>
          <w:sz w:val="22"/>
          <w:szCs w:val="22"/>
          <w:lang w:val="es-BO" w:eastAsia="es-BO"/>
        </w:rPr>
        <w:t>comas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Para la evaluación de este punto </w:t>
      </w:r>
      <w:r w:rsidR="0018775A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se considerará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los contratos ejecutados durante los últimos 10 años.</w:t>
      </w:r>
    </w:p>
    <w:p w14:paraId="7FC967C5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9EFF74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2ABAEDF8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6047FB10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47788F4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083BD409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7A42208D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5E7C5C5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379AFCD8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4FE2C1FC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4938C061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1392F4B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29D812DC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15847C1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12C59C0B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2001F2C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19B8B846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5E820E60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3E6E548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DA786EE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7521A7F4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2735322E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3ED2CFF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8816550" w14:textId="77A08F5A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red secundaria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57189071" w14:textId="5D1ABDBA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y/o mecánicas para la construcción </w:t>
      </w:r>
      <w:r w:rsidR="0018775A" w:rsidRPr="005D3117">
        <w:rPr>
          <w:rFonts w:asciiTheme="minorHAnsi" w:hAnsiTheme="minorHAnsi" w:cstheme="minorHAnsi"/>
          <w:sz w:val="22"/>
          <w:szCs w:val="22"/>
          <w:lang w:val="es-BO" w:eastAsia="es-BO"/>
        </w:rPr>
        <w:t>de variantes</w:t>
      </w: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 red secundaria.</w:t>
      </w:r>
    </w:p>
    <w:p w14:paraId="646A2BD8" w14:textId="00046908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gasoductos y redes primarias.</w:t>
      </w:r>
    </w:p>
    <w:p w14:paraId="5820F3C8" w14:textId="443E12F3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acometidas para gas natural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0335123B" w14:textId="77777777" w:rsidR="00E06DA1" w:rsidRPr="008D6BD3" w:rsidRDefault="005D3117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Construcción de redes de agua potable, alcantarillado, telefonía, desagüé pluvial, sistemas de riego, fibra óptica.</w:t>
      </w:r>
    </w:p>
    <w:p w14:paraId="26091B5B" w14:textId="77777777" w:rsidR="00E06DA1" w:rsidRDefault="00E06DA1" w:rsidP="00921984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5D3117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098F98B2" w14:textId="77777777" w:rsidR="001564CE" w:rsidRDefault="001564CE" w:rsidP="001564CE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9E4A66B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73D115E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37417617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"/>
        <w:gridCol w:w="2180"/>
        <w:gridCol w:w="1647"/>
        <w:gridCol w:w="872"/>
        <w:gridCol w:w="2144"/>
        <w:gridCol w:w="1619"/>
      </w:tblGrid>
      <w:tr w:rsidR="009B3346" w:rsidRPr="008D6BD3" w14:paraId="2D109B44" w14:textId="77777777" w:rsidTr="00921984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9B3691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891F30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87E24FE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A5DF2B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3583DD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830497F" w14:textId="77777777" w:rsidTr="00921984">
        <w:trPr>
          <w:trHeight w:val="487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77777777" w:rsidR="009B3346" w:rsidRPr="008D6BD3" w:rsidRDefault="005D3117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08850EFE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739CCE3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5BDAC9C9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OTRAS INGENIERÍAS RELACIONADAS AL ÁREA </w:t>
            </w:r>
            <w:r w:rsidR="0018775A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DE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00" w14:textId="1C69D337" w:rsidR="009B3346" w:rsidRPr="008D6BD3" w:rsidRDefault="0082243A" w:rsidP="008224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7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LA EMISIÓN DEL TÍTULO /DIPLOMA ACADÉMICO) EN CARGOS SIMILARES DE OBRAS SIMILARES (*)</w:t>
            </w:r>
          </w:p>
          <w:p w14:paraId="1C0B65F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53236B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82C1A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69C6BD1" w:rsidR="009B3346" w:rsidRPr="008D6BD3" w:rsidRDefault="0018775A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DE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 OBRA</w:t>
            </w:r>
          </w:p>
          <w:p w14:paraId="17C6178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4A054B8D" w14:textId="1B81A326" w:rsidR="00A64002" w:rsidRPr="00980EA7" w:rsidRDefault="0082243A" w:rsidP="00980EA7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INSPECTOR DE OBRA</w:t>
            </w:r>
          </w:p>
        </w:tc>
      </w:tr>
    </w:tbl>
    <w:p w14:paraId="0EB4CD1E" w14:textId="69DE6D28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lastRenderedPageBreak/>
        <w:t>(*) Las Obras similares se encuentran detalladas en el punto EXPERIENCIA DE LA EMPRESA</w:t>
      </w:r>
    </w:p>
    <w:p w14:paraId="492DBB7C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21B370" w14:textId="3377324D" w:rsidR="00492094" w:rsidRPr="00103268" w:rsidRDefault="00AA5746" w:rsidP="00AA5746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CONSIDERACIONES PARA LA </w:t>
      </w:r>
      <w:r w:rsidR="00492094"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EVALUACIÓN DE LA EXPERIENCIA DEL PERSONAL TÉCNICO    </w:t>
      </w:r>
    </w:p>
    <w:p w14:paraId="7A7E57BD" w14:textId="0ECA7D0B" w:rsidR="00AA5746" w:rsidRPr="009E20B4" w:rsidRDefault="00492094" w:rsidP="00492094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   CLAVE</w:t>
      </w:r>
    </w:p>
    <w:p w14:paraId="5BF8E9BD" w14:textId="77777777" w:rsidR="00AA5746" w:rsidRDefault="00AA5746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BF01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BA5B868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FA04DEA" w14:textId="195F93DD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D9E5A5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BCA66" w14:textId="1719CAF0" w:rsidR="00167FB3" w:rsidRPr="00103268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3268">
        <w:rPr>
          <w:rFonts w:asciiTheme="minorHAnsi" w:hAnsiTheme="minorHAnsi" w:cstheme="minorHAnsi"/>
          <w:sz w:val="22"/>
          <w:szCs w:val="22"/>
        </w:rPr>
        <w:t xml:space="preserve">FOTOCOPIA </w:t>
      </w:r>
      <w:r w:rsidR="00492094" w:rsidRPr="00103268">
        <w:rPr>
          <w:rFonts w:asciiTheme="minorHAnsi" w:hAnsiTheme="minorHAnsi" w:cstheme="minorHAnsi"/>
          <w:sz w:val="22"/>
          <w:szCs w:val="22"/>
        </w:rPr>
        <w:t>SIMPLE DE TÍ</w:t>
      </w:r>
      <w:r w:rsidRPr="00103268">
        <w:rPr>
          <w:rFonts w:asciiTheme="minorHAnsi" w:hAnsiTheme="minorHAnsi" w:cstheme="minorHAnsi"/>
          <w:sz w:val="22"/>
          <w:szCs w:val="22"/>
        </w:rPr>
        <w:t>TULO</w:t>
      </w:r>
      <w:r w:rsidR="00492094" w:rsidRPr="00103268">
        <w:rPr>
          <w:rFonts w:asciiTheme="minorHAnsi" w:hAnsiTheme="minorHAnsi" w:cstheme="minorHAnsi"/>
          <w:sz w:val="22"/>
          <w:szCs w:val="22"/>
        </w:rPr>
        <w:t>/DIPLOMA ACADÉMICO Y TÍTULO EN PROVISIÓ</w:t>
      </w:r>
      <w:r w:rsidRPr="00103268">
        <w:rPr>
          <w:rFonts w:asciiTheme="minorHAnsi" w:hAnsiTheme="minorHAnsi" w:cstheme="minorHAnsi"/>
          <w:sz w:val="22"/>
          <w:szCs w:val="22"/>
        </w:rPr>
        <w:t>N NACIONAL</w:t>
      </w:r>
    </w:p>
    <w:p w14:paraId="1BA094A2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1D5E7541" w14:textId="77777777" w:rsidR="000C5F6B" w:rsidRPr="00F405D8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4BC5033F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01A7069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754E4" w14:textId="2BF2A7E2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AC7C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1DC5DC0D" w14:textId="3DF04C6F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 xml:space="preserve">Acta o documento </w:t>
      </w:r>
      <w:r w:rsidR="0018775A" w:rsidRPr="008D6BD3">
        <w:rPr>
          <w:rFonts w:asciiTheme="minorHAnsi" w:hAnsiTheme="minorHAnsi" w:cstheme="minorHAnsi"/>
          <w:sz w:val="22"/>
          <w:szCs w:val="22"/>
        </w:rPr>
        <w:t>de Recepción</w:t>
      </w:r>
      <w:r w:rsidRPr="008D6BD3">
        <w:rPr>
          <w:rFonts w:asciiTheme="minorHAnsi" w:hAnsiTheme="minorHAnsi" w:cstheme="minorHAnsi"/>
          <w:sz w:val="22"/>
          <w:szCs w:val="22"/>
        </w:rPr>
        <w:t xml:space="preserve"> Definitiva.</w:t>
      </w:r>
    </w:p>
    <w:p w14:paraId="4A97B1BE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388AA9C1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3C44937" w14:textId="77777777" w:rsidR="001F238E" w:rsidRDefault="001F238E">
      <w:pPr>
        <w:pStyle w:val="Prrafodelista"/>
        <w:rPr>
          <w:lang w:val="es-BO" w:eastAsia="es-BO"/>
        </w:rPr>
      </w:pPr>
    </w:p>
    <w:p w14:paraId="4C39A762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5AD743BA" w14:textId="3C7A3815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405D8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0F4E0A58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17F8D6" w14:textId="77777777" w:rsidR="007557DB" w:rsidRPr="00085E24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0CB1FD97" w14:textId="3FECB3C6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5E24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094330">
        <w:rPr>
          <w:rFonts w:asciiTheme="minorHAnsi" w:hAnsiTheme="minorHAnsi" w:cstheme="minorHAnsi"/>
          <w:sz w:val="22"/>
          <w:szCs w:val="22"/>
        </w:rPr>
        <w:t>4</w:t>
      </w:r>
      <w:r w:rsidRPr="00085E24">
        <w:rPr>
          <w:rFonts w:asciiTheme="minorHAnsi" w:hAnsiTheme="minorHAnsi" w:cstheme="minorHAnsi"/>
          <w:sz w:val="22"/>
          <w:szCs w:val="22"/>
        </w:rPr>
        <w:t>.</w:t>
      </w:r>
    </w:p>
    <w:p w14:paraId="235A4726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5968469C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1069A54B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3FF6E0D3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7D1BC96D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2E0B6571" w14:textId="2C1E30DE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063F69DC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49CCCD2D" w14:textId="197CFB68" w:rsidR="006E3E3A" w:rsidRPr="00103268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</w:t>
      </w:r>
      <w:r w:rsidR="00811C45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ONES ADICIONA</w:t>
      </w:r>
      <w:r w:rsidR="00492094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0E81049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71C5B1A9" w14:textId="77777777" w:rsidR="0037036D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7B1F4F2D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FORMA DE PAGO </w:t>
      </w:r>
    </w:p>
    <w:p w14:paraId="7B2D6E53" w14:textId="3D212117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</w:t>
      </w:r>
      <w:r w:rsidR="00BE1FBB">
        <w:rPr>
          <w:rFonts w:asciiTheme="minorHAnsi" w:eastAsiaTheme="minorHAnsi" w:hAnsiTheme="minorHAnsi" w:cstheme="minorHAnsi"/>
          <w:sz w:val="22"/>
          <w:szCs w:val="22"/>
          <w:lang w:eastAsia="en-US"/>
        </w:rPr>
        <w:t>Las planillas serán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paralelo al progreso de la</w:t>
      </w:r>
      <w:r w:rsidR="00BE441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obra previa aprobación por el 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18EE6575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CB7045C" w14:textId="77777777" w:rsidR="000246D0" w:rsidRPr="007557DB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contratista.</w:t>
      </w:r>
    </w:p>
    <w:p w14:paraId="642F0281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A7FFAD5" w14:textId="77777777" w:rsidR="000246D0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1D457E62" w14:textId="77777777" w:rsidR="00A97487" w:rsidRPr="007557DB" w:rsidRDefault="00A9748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3EB3FBE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02F93830" w14:textId="14C0457F" w:rsidR="00473870" w:rsidRDefault="004E29B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Para el presente proceso no se contempla Anticipos.</w:t>
      </w:r>
    </w:p>
    <w:p w14:paraId="2DED4CF3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03ADD303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3E84BE35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0581BFDD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5D49026E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5DAA3522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65C54DDD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5AF19C37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0202D61B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435D4415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09A72D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495F697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5E382C" w14:textId="292DBF2A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 establecer la ENTIDAD que por la aplicación de multas por moras se ha llegado al límite del 10% del monto del Contrato, </w:t>
      </w:r>
      <w:r w:rsidR="00BE1FBB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podrá iniciar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el proceso de resolución del Contrato, conforme a lo estipulado.</w:t>
      </w:r>
    </w:p>
    <w:p w14:paraId="759DDB6E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3F7F715" w14:textId="28F7D55B" w:rsidR="00E13CFA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46C0BC54" w14:textId="77777777" w:rsidR="0061284A" w:rsidRPr="00811C45" w:rsidRDefault="0061284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8755807" w14:textId="77777777" w:rsidR="00D36F90" w:rsidRPr="00811C45" w:rsidRDefault="00E13CFA" w:rsidP="00E13C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8BEB6F9" w14:textId="1A2BE7BC" w:rsidR="00491ADD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165DBDC" w14:textId="77777777" w:rsidR="0061284A" w:rsidRPr="0079366A" w:rsidRDefault="0061284A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bookmarkStart w:id="1" w:name="_GoBack"/>
      <w:bookmarkEnd w:id="1"/>
    </w:p>
    <w:p w14:paraId="677E2B4C" w14:textId="77777777" w:rsidR="000A2843" w:rsidRPr="00FC1F20" w:rsidRDefault="000A2843" w:rsidP="000A2843">
      <w:pPr>
        <w:pStyle w:val="Prrafodelista"/>
        <w:numPr>
          <w:ilvl w:val="1"/>
          <w:numId w:val="2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lastRenderedPageBreak/>
        <w:t>SUBCONTRATOS</w:t>
      </w:r>
    </w:p>
    <w:p w14:paraId="6E4FEF54" w14:textId="57953B54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podrá autorizar la subcontratación para la ejecución de alguna fase de la </w:t>
      </w:r>
      <w:r w:rsidR="00BE1FBB">
        <w:rPr>
          <w:rFonts w:asciiTheme="minorHAnsi" w:hAnsiTheme="minorHAnsi" w:cstheme="minorHAnsi"/>
          <w:sz w:val="22"/>
          <w:szCs w:val="22"/>
          <w:lang w:val="es-BO" w:eastAsia="es-BO"/>
        </w:rPr>
        <w:t>obra al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085E24">
        <w:rPr>
          <w:rFonts w:asciiTheme="minorHAnsi" w:hAnsiTheme="minorHAnsi" w:cstheme="minorHAnsi"/>
          <w:sz w:val="22"/>
          <w:szCs w:val="22"/>
          <w:lang w:val="es-BO" w:eastAsia="es-BO"/>
        </w:rPr>
        <w:t>exceder el 25% (veinticinco por ciento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0B9D58DD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E66C6C4" w14:textId="4AED5F1B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</w:t>
      </w:r>
      <w:r w:rsidR="00BE1FB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adjudicada </w:t>
      </w:r>
      <w:r w:rsidR="00BE1FBB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deberá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37E414AF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3FA625A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779BFC4C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F7E5A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2DF05FB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30F54C5F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D7F985A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3304853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4F787F7A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CBF50FF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32933322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41D79CA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9D61D71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76343078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2E28100B" w14:textId="77777777" w:rsidR="001564CE" w:rsidRDefault="001564CE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3CDB1A8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75253A9E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46AF45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22BEA4E3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C8627F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077674B" w14:textId="754D8D42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3B310640" w14:textId="645CA967" w:rsidR="00EE5DEA" w:rsidRDefault="00EE5DEA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val="es-BO" w:eastAsia="en-US"/>
        </w:rPr>
        <w:lastRenderedPageBreak/>
        <w:t>Formulario B-3 Precios Elementales</w:t>
      </w:r>
    </w:p>
    <w:p w14:paraId="0FC29B30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C84C57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1A257F86" w14:textId="77777777" w:rsidR="00324C0B" w:rsidRP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324C0B" w:rsidRPr="00324C0B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4DA70" w14:textId="77777777" w:rsidR="00B10706" w:rsidRDefault="00B10706" w:rsidP="002D1D82">
      <w:r>
        <w:separator/>
      </w:r>
    </w:p>
  </w:endnote>
  <w:endnote w:type="continuationSeparator" w:id="0">
    <w:p w14:paraId="4B6EB037" w14:textId="77777777" w:rsidR="00B10706" w:rsidRDefault="00B10706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altName w:val="Arial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5"/>
      <w:gridCol w:w="3105"/>
      <w:gridCol w:w="2788"/>
    </w:tblGrid>
    <w:tr w:rsidR="007A3CBB" w:rsidRPr="009A4B1A" w14:paraId="4DE9F0DD" w14:textId="77777777" w:rsidTr="007A3CBB">
      <w:trPr>
        <w:trHeight w:val="8"/>
        <w:jc w:val="center"/>
      </w:trPr>
      <w:tc>
        <w:tcPr>
          <w:tcW w:w="1565" w:type="pct"/>
          <w:shd w:val="clear" w:color="auto" w:fill="D9D9D9"/>
        </w:tcPr>
        <w:p w14:paraId="08E0385C" w14:textId="77777777" w:rsidR="007A3CBB" w:rsidRPr="009A4B1A" w:rsidRDefault="007A3CBB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  <w:shd w:val="clear" w:color="auto" w:fill="D9D9D9"/>
        </w:tcPr>
        <w:p w14:paraId="1CDECE75" w14:textId="77777777" w:rsidR="007A3CBB" w:rsidRPr="009A4B1A" w:rsidRDefault="007A3CBB" w:rsidP="00DD4F3F">
          <w:pPr>
            <w:pStyle w:val="Encabezado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  <w:shd w:val="clear" w:color="auto" w:fill="D9D9D9"/>
        </w:tcPr>
        <w:p w14:paraId="2AA3185A" w14:textId="77777777" w:rsidR="007A3CBB" w:rsidRPr="009A4B1A" w:rsidRDefault="007A3CBB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7A3CBB" w:rsidRPr="009A4B1A" w14:paraId="0DA686E4" w14:textId="77777777" w:rsidTr="007A3CBB">
      <w:trPr>
        <w:trHeight w:val="925"/>
        <w:jc w:val="center"/>
      </w:trPr>
      <w:tc>
        <w:tcPr>
          <w:tcW w:w="1565" w:type="pct"/>
        </w:tcPr>
        <w:p w14:paraId="22CA22A8" w14:textId="77777777" w:rsidR="007A3CBB" w:rsidRPr="009A4B1A" w:rsidRDefault="007A3CBB" w:rsidP="00DD4F3F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14:paraId="3FA04EBD" w14:textId="77777777" w:rsidR="007A3CBB" w:rsidRPr="009A4B1A" w:rsidRDefault="007A3CBB" w:rsidP="00DD4F3F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14:paraId="03F97BFC" w14:textId="77777777" w:rsidR="007A3CBB" w:rsidRPr="009A4B1A" w:rsidRDefault="007A3CBB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14:paraId="1516256D" w14:textId="77777777" w:rsidR="007A3CBB" w:rsidRPr="009A4B1A" w:rsidRDefault="007A3CBB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7A3CBB" w:rsidRPr="009A4B1A" w14:paraId="103C8FD1" w14:textId="77777777" w:rsidTr="007A3CBB">
      <w:trPr>
        <w:trHeight w:val="86"/>
        <w:jc w:val="center"/>
      </w:trPr>
      <w:tc>
        <w:tcPr>
          <w:tcW w:w="1565" w:type="pct"/>
          <w:shd w:val="clear" w:color="auto" w:fill="D9D9D9"/>
        </w:tcPr>
        <w:p w14:paraId="11E02819" w14:textId="218D7504" w:rsidR="007A3CBB" w:rsidRPr="00556B64" w:rsidRDefault="007A3CBB" w:rsidP="002F6DAC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>SUPERVISOR DE INSPECCION DE GABINETES I</w:t>
          </w:r>
        </w:p>
      </w:tc>
      <w:tc>
        <w:tcPr>
          <w:tcW w:w="1810" w:type="pct"/>
          <w:shd w:val="clear" w:color="auto" w:fill="D9D9D9"/>
        </w:tcPr>
        <w:p w14:paraId="41AB794F" w14:textId="77777777" w:rsidR="007A3CBB" w:rsidRPr="009A4B1A" w:rsidRDefault="007A3CBB" w:rsidP="00DD4F3F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25" w:type="pct"/>
          <w:shd w:val="clear" w:color="auto" w:fill="D9D9D9"/>
        </w:tcPr>
        <w:p w14:paraId="0AFFBE84" w14:textId="77777777" w:rsidR="007A3CBB" w:rsidRPr="009A4B1A" w:rsidRDefault="007A3CBB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 OPERACIÓN Y MANTENIMIENTO</w:t>
          </w:r>
        </w:p>
      </w:tc>
    </w:tr>
  </w:tbl>
  <w:p w14:paraId="10BFD80B" w14:textId="77777777" w:rsidR="007A3CBB" w:rsidRPr="00DD4F3F" w:rsidRDefault="007A3CBB" w:rsidP="00DD4F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BE24E" w14:textId="77777777" w:rsidR="00B10706" w:rsidRDefault="00B10706" w:rsidP="002D1D82">
      <w:r>
        <w:separator/>
      </w:r>
    </w:p>
  </w:footnote>
  <w:footnote w:type="continuationSeparator" w:id="0">
    <w:p w14:paraId="7661CCF1" w14:textId="77777777" w:rsidR="00B10706" w:rsidRDefault="00B10706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7A3CBB" w14:paraId="0BDEDEC0" w14:textId="77777777" w:rsidTr="007A3CBB">
      <w:tc>
        <w:tcPr>
          <w:tcW w:w="618" w:type="pct"/>
          <w:vMerge w:val="restart"/>
        </w:tcPr>
        <w:p w14:paraId="56DCFE68" w14:textId="77777777" w:rsidR="007A3CBB" w:rsidRDefault="007A3CBB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658752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1" name="Imagen 1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  <w:vAlign w:val="center"/>
        </w:tcPr>
        <w:p w14:paraId="7718AF66" w14:textId="237F721D" w:rsidR="007A3CBB" w:rsidRPr="00A97487" w:rsidRDefault="007A3CBB" w:rsidP="00A97487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A97487">
            <w:rPr>
              <w:rFonts w:asciiTheme="minorHAnsi" w:hAnsiTheme="minorHAnsi" w:cstheme="minorHAnsi"/>
              <w:b/>
              <w:sz w:val="18"/>
              <w:szCs w:val="18"/>
            </w:rPr>
            <w:t>ESPECIFICACIONES TÉCNICAS PARA</w:t>
          </w:r>
        </w:p>
        <w:p w14:paraId="090DD12C" w14:textId="072699B7" w:rsidR="007A3CBB" w:rsidRDefault="007A3CBB" w:rsidP="002F6DAC">
          <w:pPr>
            <w:pStyle w:val="Encabezado"/>
            <w:jc w:val="center"/>
          </w:pPr>
          <w:r>
            <w:rPr>
              <w:rFonts w:asciiTheme="minorHAnsi" w:hAnsiTheme="minorHAnsi" w:cstheme="minorHAnsi"/>
              <w:b/>
              <w:sz w:val="18"/>
              <w:szCs w:val="18"/>
            </w:rPr>
            <w:t>ANULACION DE ACOMETIDAS DOMESTICAS CHUQUISACA</w:t>
          </w:r>
        </w:p>
      </w:tc>
      <w:tc>
        <w:tcPr>
          <w:tcW w:w="1122" w:type="pct"/>
          <w:vAlign w:val="center"/>
        </w:tcPr>
        <w:p w14:paraId="721E34DC" w14:textId="77777777" w:rsidR="007A3CBB" w:rsidRDefault="007A3CBB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7A3CBB" w14:paraId="7E6D04C7" w14:textId="77777777" w:rsidTr="008870D2">
      <w:tc>
        <w:tcPr>
          <w:tcW w:w="618" w:type="pct"/>
          <w:vMerge/>
        </w:tcPr>
        <w:p w14:paraId="001424ED" w14:textId="77777777" w:rsidR="007A3CBB" w:rsidRDefault="007A3CBB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7A3CBB" w:rsidRDefault="007A3CBB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3C10FF59" w:rsidR="007A3CBB" w:rsidRDefault="007A3CBB" w:rsidP="0061284A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 xml:space="preserve">Fecha: </w:t>
          </w:r>
          <w:r w:rsidR="0061284A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23</w:t>
          </w: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/08/2019</w:t>
          </w:r>
        </w:p>
      </w:tc>
    </w:tr>
    <w:tr w:rsidR="007A3CBB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7A3CBB" w:rsidRDefault="007A3CBB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7A3CBB" w:rsidRDefault="007A3CBB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49A3B5CC" w:rsidR="007A3CBB" w:rsidRDefault="007A3CBB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B22C77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9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B22C77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9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7A3CBB" w:rsidRDefault="007A3CBB" w:rsidP="008D6B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B0536"/>
    <w:multiLevelType w:val="multilevel"/>
    <w:tmpl w:val="6A501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 w15:restartNumberingAfterBreak="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 w15:restartNumberingAfterBreak="0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396045"/>
    <w:multiLevelType w:val="hybridMultilevel"/>
    <w:tmpl w:val="C74069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 w15:restartNumberingAfterBreak="0">
    <w:nsid w:val="5DE1476F"/>
    <w:multiLevelType w:val="hybridMultilevel"/>
    <w:tmpl w:val="7AF6C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0" w15:restartNumberingAfterBreak="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A0637B3"/>
    <w:multiLevelType w:val="hybridMultilevel"/>
    <w:tmpl w:val="4FBC4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6" w15:restartNumberingAfterBreak="0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6" w15:restartNumberingAfterBreak="0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3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6"/>
  </w:num>
  <w:num w:numId="12">
    <w:abstractNumId w:val="9"/>
  </w:num>
  <w:num w:numId="13">
    <w:abstractNumId w:val="13"/>
  </w:num>
  <w:num w:numId="14">
    <w:abstractNumId w:val="36"/>
  </w:num>
  <w:num w:numId="15">
    <w:abstractNumId w:val="55"/>
  </w:num>
  <w:num w:numId="16">
    <w:abstractNumId w:val="22"/>
  </w:num>
  <w:num w:numId="17">
    <w:abstractNumId w:val="4"/>
  </w:num>
  <w:num w:numId="18">
    <w:abstractNumId w:val="53"/>
  </w:num>
  <w:num w:numId="19">
    <w:abstractNumId w:val="41"/>
  </w:num>
  <w:num w:numId="20">
    <w:abstractNumId w:val="3"/>
  </w:num>
  <w:num w:numId="21">
    <w:abstractNumId w:val="18"/>
  </w:num>
  <w:num w:numId="22">
    <w:abstractNumId w:val="50"/>
  </w:num>
  <w:num w:numId="23">
    <w:abstractNumId w:val="31"/>
  </w:num>
  <w:num w:numId="24">
    <w:abstractNumId w:val="57"/>
  </w:num>
  <w:num w:numId="25">
    <w:abstractNumId w:val="29"/>
  </w:num>
  <w:num w:numId="26">
    <w:abstractNumId w:val="65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4"/>
  </w:num>
  <w:num w:numId="32">
    <w:abstractNumId w:val="58"/>
  </w:num>
  <w:num w:numId="33">
    <w:abstractNumId w:val="15"/>
  </w:num>
  <w:num w:numId="34">
    <w:abstractNumId w:val="42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9"/>
  </w:num>
  <w:num w:numId="41">
    <w:abstractNumId w:val="44"/>
  </w:num>
  <w:num w:numId="42">
    <w:abstractNumId w:val="5"/>
  </w:num>
  <w:num w:numId="43">
    <w:abstractNumId w:val="52"/>
  </w:num>
  <w:num w:numId="44">
    <w:abstractNumId w:val="26"/>
  </w:num>
  <w:num w:numId="45">
    <w:abstractNumId w:val="19"/>
  </w:num>
  <w:num w:numId="46">
    <w:abstractNumId w:val="63"/>
  </w:num>
  <w:num w:numId="47">
    <w:abstractNumId w:val="59"/>
  </w:num>
  <w:num w:numId="48">
    <w:abstractNumId w:val="14"/>
  </w:num>
  <w:num w:numId="49">
    <w:abstractNumId w:val="56"/>
  </w:num>
  <w:num w:numId="50">
    <w:abstractNumId w:val="7"/>
  </w:num>
  <w:num w:numId="51">
    <w:abstractNumId w:val="2"/>
  </w:num>
  <w:num w:numId="52">
    <w:abstractNumId w:val="62"/>
  </w:num>
  <w:num w:numId="53">
    <w:abstractNumId w:val="61"/>
  </w:num>
  <w:num w:numId="54">
    <w:abstractNumId w:val="23"/>
  </w:num>
  <w:num w:numId="55">
    <w:abstractNumId w:val="1"/>
  </w:num>
  <w:num w:numId="56">
    <w:abstractNumId w:val="51"/>
  </w:num>
  <w:num w:numId="57">
    <w:abstractNumId w:val="60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8"/>
  </w:num>
  <w:num w:numId="62">
    <w:abstractNumId w:val="0"/>
  </w:num>
  <w:num w:numId="63">
    <w:abstractNumId w:val="38"/>
  </w:num>
  <w:num w:numId="64">
    <w:abstractNumId w:val="39"/>
  </w:num>
  <w:num w:numId="65">
    <w:abstractNumId w:val="47"/>
  </w:num>
  <w:num w:numId="66">
    <w:abstractNumId w:val="54"/>
  </w:num>
  <w:num w:numId="67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0962"/>
    <w:rsid w:val="000325EA"/>
    <w:rsid w:val="000415C4"/>
    <w:rsid w:val="000463B8"/>
    <w:rsid w:val="0005249A"/>
    <w:rsid w:val="000541CD"/>
    <w:rsid w:val="0005796B"/>
    <w:rsid w:val="00060B4B"/>
    <w:rsid w:val="000627AB"/>
    <w:rsid w:val="00065165"/>
    <w:rsid w:val="00067083"/>
    <w:rsid w:val="00071E4D"/>
    <w:rsid w:val="00072FEB"/>
    <w:rsid w:val="00074D8E"/>
    <w:rsid w:val="000810BB"/>
    <w:rsid w:val="000823B5"/>
    <w:rsid w:val="00083221"/>
    <w:rsid w:val="0008596D"/>
    <w:rsid w:val="00085E24"/>
    <w:rsid w:val="00090181"/>
    <w:rsid w:val="00092EF0"/>
    <w:rsid w:val="00093379"/>
    <w:rsid w:val="00094330"/>
    <w:rsid w:val="00095347"/>
    <w:rsid w:val="000A1104"/>
    <w:rsid w:val="000A2270"/>
    <w:rsid w:val="000A2843"/>
    <w:rsid w:val="000A2FC9"/>
    <w:rsid w:val="000A4AB3"/>
    <w:rsid w:val="000A72BC"/>
    <w:rsid w:val="000B08B1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3268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3A2C"/>
    <w:rsid w:val="00147443"/>
    <w:rsid w:val="00147C13"/>
    <w:rsid w:val="00150B67"/>
    <w:rsid w:val="001564CE"/>
    <w:rsid w:val="00164179"/>
    <w:rsid w:val="00165E27"/>
    <w:rsid w:val="00167FB3"/>
    <w:rsid w:val="00174716"/>
    <w:rsid w:val="00174FF0"/>
    <w:rsid w:val="00175CFD"/>
    <w:rsid w:val="00180F8E"/>
    <w:rsid w:val="0018435C"/>
    <w:rsid w:val="0018639D"/>
    <w:rsid w:val="001872FE"/>
    <w:rsid w:val="0018775A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23A"/>
    <w:rsid w:val="001F1645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826BB"/>
    <w:rsid w:val="00282AC1"/>
    <w:rsid w:val="00282E10"/>
    <w:rsid w:val="00283ACF"/>
    <w:rsid w:val="002848B6"/>
    <w:rsid w:val="00286202"/>
    <w:rsid w:val="00292574"/>
    <w:rsid w:val="002926F5"/>
    <w:rsid w:val="002951CE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2F6DAC"/>
    <w:rsid w:val="003024CC"/>
    <w:rsid w:val="00303314"/>
    <w:rsid w:val="00303F0D"/>
    <w:rsid w:val="00304431"/>
    <w:rsid w:val="0031090A"/>
    <w:rsid w:val="00313FBB"/>
    <w:rsid w:val="003157D4"/>
    <w:rsid w:val="003173BC"/>
    <w:rsid w:val="00320759"/>
    <w:rsid w:val="00324C0B"/>
    <w:rsid w:val="0032612B"/>
    <w:rsid w:val="00327BB1"/>
    <w:rsid w:val="0033338A"/>
    <w:rsid w:val="00333618"/>
    <w:rsid w:val="00333A76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909B8"/>
    <w:rsid w:val="00392A19"/>
    <w:rsid w:val="003942C8"/>
    <w:rsid w:val="00394DA6"/>
    <w:rsid w:val="003958B5"/>
    <w:rsid w:val="00396804"/>
    <w:rsid w:val="003A0954"/>
    <w:rsid w:val="003A0DD3"/>
    <w:rsid w:val="003A1615"/>
    <w:rsid w:val="003A1BD6"/>
    <w:rsid w:val="003A2642"/>
    <w:rsid w:val="003A2951"/>
    <w:rsid w:val="003A4791"/>
    <w:rsid w:val="003A771C"/>
    <w:rsid w:val="003B1018"/>
    <w:rsid w:val="003B1762"/>
    <w:rsid w:val="003B18C3"/>
    <w:rsid w:val="003B3E5B"/>
    <w:rsid w:val="003B6EDC"/>
    <w:rsid w:val="003B6F4C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4523"/>
    <w:rsid w:val="004059E7"/>
    <w:rsid w:val="00406487"/>
    <w:rsid w:val="0041582F"/>
    <w:rsid w:val="00417C3C"/>
    <w:rsid w:val="00420239"/>
    <w:rsid w:val="00420806"/>
    <w:rsid w:val="00420BF4"/>
    <w:rsid w:val="004210BF"/>
    <w:rsid w:val="00434392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E68"/>
    <w:rsid w:val="00491667"/>
    <w:rsid w:val="00491ADD"/>
    <w:rsid w:val="00492094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E29B9"/>
    <w:rsid w:val="004E43E8"/>
    <w:rsid w:val="004E55DA"/>
    <w:rsid w:val="004F1F72"/>
    <w:rsid w:val="004F4C36"/>
    <w:rsid w:val="00502618"/>
    <w:rsid w:val="00505D4F"/>
    <w:rsid w:val="0050776D"/>
    <w:rsid w:val="00507DF8"/>
    <w:rsid w:val="00510917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3D27"/>
    <w:rsid w:val="00557525"/>
    <w:rsid w:val="00560159"/>
    <w:rsid w:val="00560C56"/>
    <w:rsid w:val="0057354F"/>
    <w:rsid w:val="00574869"/>
    <w:rsid w:val="005801AA"/>
    <w:rsid w:val="0058081F"/>
    <w:rsid w:val="0058095A"/>
    <w:rsid w:val="005821EF"/>
    <w:rsid w:val="00587A51"/>
    <w:rsid w:val="0059168C"/>
    <w:rsid w:val="00593CD8"/>
    <w:rsid w:val="005953A9"/>
    <w:rsid w:val="00596A31"/>
    <w:rsid w:val="00596B67"/>
    <w:rsid w:val="005A576A"/>
    <w:rsid w:val="005A6454"/>
    <w:rsid w:val="005A71DD"/>
    <w:rsid w:val="005B1B11"/>
    <w:rsid w:val="005B3DDA"/>
    <w:rsid w:val="005B5F95"/>
    <w:rsid w:val="005B62F0"/>
    <w:rsid w:val="005B764E"/>
    <w:rsid w:val="005C4484"/>
    <w:rsid w:val="005C61B1"/>
    <w:rsid w:val="005C77EC"/>
    <w:rsid w:val="005D17C0"/>
    <w:rsid w:val="005D3117"/>
    <w:rsid w:val="005E5545"/>
    <w:rsid w:val="005F2AFE"/>
    <w:rsid w:val="005F496D"/>
    <w:rsid w:val="006009DF"/>
    <w:rsid w:val="00603C91"/>
    <w:rsid w:val="00611449"/>
    <w:rsid w:val="0061284A"/>
    <w:rsid w:val="006130BC"/>
    <w:rsid w:val="0061325D"/>
    <w:rsid w:val="00615FD3"/>
    <w:rsid w:val="006218A5"/>
    <w:rsid w:val="00624A4B"/>
    <w:rsid w:val="006254C2"/>
    <w:rsid w:val="0063310B"/>
    <w:rsid w:val="00640177"/>
    <w:rsid w:val="00641BCB"/>
    <w:rsid w:val="00643705"/>
    <w:rsid w:val="00646456"/>
    <w:rsid w:val="00651F78"/>
    <w:rsid w:val="00652FAA"/>
    <w:rsid w:val="00653374"/>
    <w:rsid w:val="00654CD3"/>
    <w:rsid w:val="006576AD"/>
    <w:rsid w:val="00665481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70F0"/>
    <w:rsid w:val="006A0CCA"/>
    <w:rsid w:val="006A46DC"/>
    <w:rsid w:val="006A6316"/>
    <w:rsid w:val="006A6874"/>
    <w:rsid w:val="006B0C4E"/>
    <w:rsid w:val="006B6AE3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EAC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3CBB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11C45"/>
    <w:rsid w:val="00811ED9"/>
    <w:rsid w:val="0081271D"/>
    <w:rsid w:val="008142E4"/>
    <w:rsid w:val="008206DD"/>
    <w:rsid w:val="0082243A"/>
    <w:rsid w:val="0082261F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7E0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823"/>
    <w:rsid w:val="008B4F92"/>
    <w:rsid w:val="008C3015"/>
    <w:rsid w:val="008C67C1"/>
    <w:rsid w:val="008C70EE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0EA7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3676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002"/>
    <w:rsid w:val="00A64990"/>
    <w:rsid w:val="00A703C1"/>
    <w:rsid w:val="00A72749"/>
    <w:rsid w:val="00A779D8"/>
    <w:rsid w:val="00A871C8"/>
    <w:rsid w:val="00A9336D"/>
    <w:rsid w:val="00A9501F"/>
    <w:rsid w:val="00A96149"/>
    <w:rsid w:val="00A96F9A"/>
    <w:rsid w:val="00A97487"/>
    <w:rsid w:val="00AA1A8E"/>
    <w:rsid w:val="00AA2C28"/>
    <w:rsid w:val="00AA5746"/>
    <w:rsid w:val="00AA5910"/>
    <w:rsid w:val="00AB2988"/>
    <w:rsid w:val="00AB2F5E"/>
    <w:rsid w:val="00AB6B19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0BC4"/>
    <w:rsid w:val="00AE38DD"/>
    <w:rsid w:val="00AE5C96"/>
    <w:rsid w:val="00AE6D34"/>
    <w:rsid w:val="00AF1497"/>
    <w:rsid w:val="00AF15B2"/>
    <w:rsid w:val="00AF191B"/>
    <w:rsid w:val="00B01010"/>
    <w:rsid w:val="00B05A1C"/>
    <w:rsid w:val="00B068E9"/>
    <w:rsid w:val="00B06E29"/>
    <w:rsid w:val="00B10706"/>
    <w:rsid w:val="00B11F45"/>
    <w:rsid w:val="00B13582"/>
    <w:rsid w:val="00B135ED"/>
    <w:rsid w:val="00B14613"/>
    <w:rsid w:val="00B170F8"/>
    <w:rsid w:val="00B17F6D"/>
    <w:rsid w:val="00B22C77"/>
    <w:rsid w:val="00B249C5"/>
    <w:rsid w:val="00B25438"/>
    <w:rsid w:val="00B27A1D"/>
    <w:rsid w:val="00B32649"/>
    <w:rsid w:val="00B33F72"/>
    <w:rsid w:val="00B424B3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2937"/>
    <w:rsid w:val="00B949A4"/>
    <w:rsid w:val="00B96B75"/>
    <w:rsid w:val="00BA333F"/>
    <w:rsid w:val="00BA5522"/>
    <w:rsid w:val="00BA5876"/>
    <w:rsid w:val="00BB1013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1FBB"/>
    <w:rsid w:val="00BE4417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30F5"/>
    <w:rsid w:val="00C266A0"/>
    <w:rsid w:val="00C41B8B"/>
    <w:rsid w:val="00C46536"/>
    <w:rsid w:val="00C51E0D"/>
    <w:rsid w:val="00C55B7E"/>
    <w:rsid w:val="00C55FAB"/>
    <w:rsid w:val="00C57196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57F9C"/>
    <w:rsid w:val="00D6328C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A00AE"/>
    <w:rsid w:val="00DA0D69"/>
    <w:rsid w:val="00DA3C2D"/>
    <w:rsid w:val="00DB0803"/>
    <w:rsid w:val="00DB3262"/>
    <w:rsid w:val="00DB4CF0"/>
    <w:rsid w:val="00DB5727"/>
    <w:rsid w:val="00DB60DF"/>
    <w:rsid w:val="00DC115C"/>
    <w:rsid w:val="00DC2B7C"/>
    <w:rsid w:val="00DC3868"/>
    <w:rsid w:val="00DC59FC"/>
    <w:rsid w:val="00DC6569"/>
    <w:rsid w:val="00DD2F58"/>
    <w:rsid w:val="00DD3BD8"/>
    <w:rsid w:val="00DD4F3F"/>
    <w:rsid w:val="00DE322F"/>
    <w:rsid w:val="00DE5241"/>
    <w:rsid w:val="00DE5478"/>
    <w:rsid w:val="00DE74AA"/>
    <w:rsid w:val="00DF45EA"/>
    <w:rsid w:val="00DF55FE"/>
    <w:rsid w:val="00DF6C94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5196"/>
    <w:rsid w:val="00EB44CA"/>
    <w:rsid w:val="00EB4575"/>
    <w:rsid w:val="00EB5EC2"/>
    <w:rsid w:val="00EC3C76"/>
    <w:rsid w:val="00EC417C"/>
    <w:rsid w:val="00EC6883"/>
    <w:rsid w:val="00EE01D7"/>
    <w:rsid w:val="00EE2263"/>
    <w:rsid w:val="00EE28FA"/>
    <w:rsid w:val="00EE2ECD"/>
    <w:rsid w:val="00EE3968"/>
    <w:rsid w:val="00EE3AF0"/>
    <w:rsid w:val="00EE42E2"/>
    <w:rsid w:val="00EE5DEA"/>
    <w:rsid w:val="00EE71AC"/>
    <w:rsid w:val="00EF0C2B"/>
    <w:rsid w:val="00EF1B05"/>
    <w:rsid w:val="00EF28A7"/>
    <w:rsid w:val="00EF2EFA"/>
    <w:rsid w:val="00EF3F95"/>
    <w:rsid w:val="00EF6D7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2020"/>
    <w:rsid w:val="00F82E9C"/>
    <w:rsid w:val="00F844A4"/>
    <w:rsid w:val="00F84B6A"/>
    <w:rsid w:val="00F918A3"/>
    <w:rsid w:val="00F91BD6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1F20"/>
    <w:rsid w:val="00FC2893"/>
    <w:rsid w:val="00FC69A8"/>
    <w:rsid w:val="00FD177B"/>
    <w:rsid w:val="00FE09CC"/>
    <w:rsid w:val="00FE111A"/>
    <w:rsid w:val="00FE1CF4"/>
    <w:rsid w:val="00FE4F6D"/>
    <w:rsid w:val="00FE7EB8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D4776C"/>
  <w15:docId w15:val="{EFE60812-4E08-424B-B9D2-F00C666A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4DFB7-DBC2-4581-ACDD-B44E69E7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2214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Beatriz Delgado Chuquimia</dc:creator>
  <cp:lastModifiedBy>Marcelo Jorge Cabrera Arandia</cp:lastModifiedBy>
  <cp:revision>6</cp:revision>
  <cp:lastPrinted>2019-09-09T15:35:00Z</cp:lastPrinted>
  <dcterms:created xsi:type="dcterms:W3CDTF">2019-08-18T21:55:00Z</dcterms:created>
  <dcterms:modified xsi:type="dcterms:W3CDTF">2019-09-09T15:49:00Z</dcterms:modified>
</cp:coreProperties>
</file>