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60" w:rsidRDefault="00D06F2A" w:rsidP="00B34A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  <w:t>ANEXO A</w:t>
      </w:r>
    </w:p>
    <w:p w:rsidR="00355658" w:rsidRPr="00B1676D" w:rsidRDefault="00355658" w:rsidP="00B34A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s-BO"/>
        </w:rPr>
      </w:pPr>
    </w:p>
    <w:p w:rsidR="00666AF3" w:rsidRDefault="00D06F2A" w:rsidP="00796DFD">
      <w:pPr>
        <w:pStyle w:val="Encabezado"/>
        <w:jc w:val="center"/>
        <w:rPr>
          <w:rFonts w:ascii="Calibri" w:hAnsi="Calibri" w:cs="Calibri"/>
          <w:b/>
          <w:sz w:val="22"/>
          <w:szCs w:val="22"/>
        </w:rPr>
      </w:pPr>
      <w:r w:rsidRPr="00D06F2A">
        <w:rPr>
          <w:rFonts w:ascii="Calibri" w:hAnsi="Calibri" w:cs="Calibri"/>
          <w:b/>
          <w:sz w:val="22"/>
          <w:szCs w:val="22"/>
        </w:rPr>
        <w:t>“ADQUISICIÓN DE EQUIPOS Y MATERIALES DE EMERGENCIA PARA LA GERENCIA DE INDUSTRIALIZACIÓN”</w:t>
      </w:r>
    </w:p>
    <w:p w:rsidR="00D06F2A" w:rsidRPr="003A4076" w:rsidRDefault="00D06F2A" w:rsidP="00796DFD">
      <w:pPr>
        <w:pStyle w:val="Encabezado"/>
        <w:jc w:val="center"/>
        <w:rPr>
          <w:rFonts w:ascii="Calibri" w:hAnsi="Calibri" w:cs="Calibri"/>
          <w:b/>
          <w:sz w:val="22"/>
          <w:szCs w:val="22"/>
        </w:rPr>
      </w:pPr>
    </w:p>
    <w:p w:rsidR="003E6E52" w:rsidRDefault="003E6E52" w:rsidP="003E6E52">
      <w:pPr>
        <w:jc w:val="right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Santa Cruz</w:t>
      </w:r>
      <w:r w:rsidR="00520D38">
        <w:rPr>
          <w:rFonts w:ascii="Verdana" w:hAnsi="Verdana" w:cs="Calibri"/>
          <w:sz w:val="18"/>
          <w:szCs w:val="18"/>
        </w:rPr>
        <w:t xml:space="preserve"> de la Sierra</w:t>
      </w:r>
      <w:r>
        <w:rPr>
          <w:rFonts w:ascii="Verdana" w:hAnsi="Verdana" w:cs="Calibri"/>
          <w:sz w:val="18"/>
          <w:szCs w:val="18"/>
        </w:rPr>
        <w:t xml:space="preserve">, </w:t>
      </w:r>
      <w:r w:rsidR="00D06F2A">
        <w:rPr>
          <w:rFonts w:ascii="Verdana" w:hAnsi="Verdana" w:cs="Calibri"/>
          <w:sz w:val="18"/>
          <w:szCs w:val="18"/>
        </w:rPr>
        <w:t>15</w:t>
      </w:r>
      <w:r w:rsidR="00666AF3">
        <w:rPr>
          <w:rFonts w:ascii="Verdana" w:hAnsi="Verdana" w:cs="Calibri"/>
          <w:sz w:val="18"/>
          <w:szCs w:val="18"/>
        </w:rPr>
        <w:t xml:space="preserve"> de </w:t>
      </w:r>
      <w:r w:rsidR="00D06F2A">
        <w:rPr>
          <w:rFonts w:ascii="Verdana" w:hAnsi="Verdana" w:cs="Calibri"/>
          <w:sz w:val="18"/>
          <w:szCs w:val="18"/>
        </w:rPr>
        <w:t>julio</w:t>
      </w:r>
      <w:r w:rsidR="00AD2345">
        <w:rPr>
          <w:rFonts w:ascii="Verdana" w:hAnsi="Verdana" w:cs="Calibri"/>
          <w:sz w:val="18"/>
          <w:szCs w:val="18"/>
        </w:rPr>
        <w:t xml:space="preserve"> </w:t>
      </w:r>
      <w:r w:rsidR="00FC0A2E">
        <w:rPr>
          <w:rFonts w:ascii="Verdana" w:hAnsi="Verdana" w:cs="Calibri"/>
          <w:sz w:val="18"/>
          <w:szCs w:val="18"/>
        </w:rPr>
        <w:t>de 2019</w:t>
      </w:r>
    </w:p>
    <w:p w:rsidR="00083F35" w:rsidRDefault="00083F35" w:rsidP="003E6E52">
      <w:pPr>
        <w:jc w:val="right"/>
        <w:rPr>
          <w:rFonts w:ascii="Verdana" w:hAnsi="Verdana" w:cs="Calibri"/>
          <w:sz w:val="18"/>
          <w:szCs w:val="18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t>FACTURACIÓN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9" w:rsidRPr="00A27179" w:rsidRDefault="00A27179" w:rsidP="00A2717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A27179" w:rsidRPr="00A27179" w:rsidRDefault="00A27179" w:rsidP="00A2717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</w:t>
            </w:r>
            <w:r w:rsidR="00667AEA">
              <w:rPr>
                <w:rFonts w:ascii="Calibri" w:hAnsi="Calibri"/>
                <w:color w:val="000000"/>
                <w:sz w:val="22"/>
                <w:szCs w:val="22"/>
              </w:rPr>
              <w:t>por el precio contratado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>, sin deducir las multas ni otros cargos</w:t>
            </w:r>
            <w:r w:rsidR="00667AEA">
              <w:rPr>
                <w:rFonts w:ascii="Calibri" w:hAnsi="Calibri"/>
                <w:color w:val="000000"/>
                <w:sz w:val="22"/>
                <w:szCs w:val="22"/>
              </w:rPr>
              <w:t xml:space="preserve"> al momento de la entrega de la totalidad de los bienes conforme lo establecido contractualmente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A27179" w:rsidRDefault="00A27179" w:rsidP="00A2717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jurídica, empresa unipersonal, sociedad accidental) deberá adjuntar a su propuesta el "Certif</w:t>
            </w:r>
            <w:r w:rsidR="00667AEA">
              <w:rPr>
                <w:rFonts w:ascii="Calibri" w:hAnsi="Calibri"/>
                <w:color w:val="000000"/>
                <w:sz w:val="22"/>
                <w:szCs w:val="22"/>
              </w:rPr>
              <w:t>icado de Inscripción</w:t>
            </w:r>
            <w:bookmarkStart w:id="0" w:name="_GoBack"/>
            <w:bookmarkEnd w:id="0"/>
            <w:r w:rsidR="00667AEA">
              <w:rPr>
                <w:rFonts w:ascii="Calibri" w:hAnsi="Calibri"/>
                <w:color w:val="000000"/>
                <w:sz w:val="22"/>
                <w:szCs w:val="22"/>
              </w:rPr>
              <w:t>" o reporte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 xml:space="preserve"> Consulta de Padrón emitido por el Servicio de Impuestos Nacionales, como evidencia de que la actividad económica registrada guarda relación con el objeto del proceso de contratación.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  <w:p w:rsidR="00414904" w:rsidRPr="003102D7" w:rsidRDefault="0068241A" w:rsidP="00A2717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68241A">
              <w:rPr>
                <w:rFonts w:ascii="Calibri" w:hAnsi="Calibri" w:cs="Calibri"/>
                <w:bCs/>
                <w:color w:val="000000"/>
                <w:sz w:val="22"/>
                <w:szCs w:val="22"/>
                <w:lang w:val="es-BO"/>
              </w:rPr>
              <w:t xml:space="preserve"> </w:t>
            </w:r>
          </w:p>
        </w:tc>
      </w:tr>
      <w:tr w:rsidR="004B3D78" w:rsidRPr="00340FB3" w:rsidTr="001B7C49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B3D78" w:rsidRPr="00FD2C91" w:rsidRDefault="004B3D78" w:rsidP="004B3D7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D2C91"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B3D78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CDA" w:rsidRDefault="00A27179" w:rsidP="00CE7CD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Pr="00A27179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</w:r>
            <w:r w:rsidR="0068241A" w:rsidRPr="0068241A">
              <w:rPr>
                <w:rFonts w:ascii="Calibri" w:hAnsi="Calibri"/>
                <w:color w:val="000000"/>
                <w:sz w:val="22"/>
                <w:szCs w:val="22"/>
              </w:rPr>
              <w:tab/>
              <w:t xml:space="preserve"> </w:t>
            </w:r>
          </w:p>
          <w:p w:rsidR="0068241A" w:rsidRPr="00CE7CDA" w:rsidRDefault="0068241A" w:rsidP="00CE7CDA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</w:tc>
      </w:tr>
      <w:tr w:rsidR="002262EA" w:rsidRPr="00340FB3" w:rsidTr="001C60B6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262EA" w:rsidRPr="001C60B6" w:rsidRDefault="001C60B6" w:rsidP="006970FD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60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SEGUROS.</w:t>
            </w:r>
          </w:p>
        </w:tc>
      </w:tr>
      <w:tr w:rsidR="002262EA" w:rsidRPr="00340FB3" w:rsidTr="004B3D7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0C4" w:rsidRDefault="001C20C4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La (s) empresa (s) adjudicada (s), deberá (n) presentar y mantener vigente de forma ininterrumpida durante todo el periodo del contrato, las pólizas de seguros especificadas a continuación:</w:t>
            </w:r>
          </w:p>
          <w:p w:rsidR="001C20C4" w:rsidRDefault="001C20C4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</w:p>
          <w:p w:rsidR="001C20C4" w:rsidRPr="00012579" w:rsidRDefault="001C20C4" w:rsidP="001C20C4">
            <w:pPr>
              <w:numPr>
                <w:ilvl w:val="0"/>
                <w:numId w:val="26"/>
              </w:numPr>
              <w:autoSpaceDN w:val="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Seguro de Responsabilidad Civil.</w:t>
            </w:r>
          </w:p>
          <w:p w:rsidR="001C20C4" w:rsidRPr="00012579" w:rsidRDefault="001C20C4" w:rsidP="001C20C4">
            <w:pPr>
              <w:ind w:left="7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012579">
              <w:rPr>
                <w:rFonts w:ascii="Calibri" w:hAnsi="Calibri" w:cs="Calibri"/>
                <w:iCs/>
                <w:sz w:val="22"/>
                <w:szCs w:val="22"/>
              </w:rPr>
              <w:t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 Incluyendo daños por gastos de aceleración de siniestros y extraordinarios y remoción de escombros dejando indemne a YPFB po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r cualquier suceso.</w:t>
            </w:r>
          </w:p>
          <w:p w:rsidR="001C20C4" w:rsidRPr="00012579" w:rsidRDefault="001C20C4" w:rsidP="001C20C4">
            <w:pPr>
              <w:ind w:left="72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:rsidR="001C20C4" w:rsidRPr="00012579" w:rsidRDefault="001C20C4" w:rsidP="001C20C4">
            <w:pPr>
              <w:ind w:left="7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012579">
              <w:rPr>
                <w:rFonts w:ascii="Calibri" w:hAnsi="Calibri" w:cs="Calibri"/>
                <w:iCs/>
                <w:sz w:val="22"/>
                <w:szCs w:val="22"/>
              </w:rPr>
              <w:t>El límite de indemnización por evento y/o reclamos deberá ser por $us. 50.000.-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  </w:t>
            </w:r>
          </w:p>
          <w:p w:rsidR="001C20C4" w:rsidRDefault="001C20C4" w:rsidP="001C20C4">
            <w:pPr>
              <w:pStyle w:val="NormalWeb"/>
              <w:numPr>
                <w:ilvl w:val="0"/>
                <w:numId w:val="26"/>
              </w:numP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Póliza de Accidentes Personales</w:t>
            </w:r>
            <w: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  <w:p w:rsidR="001C20C4" w:rsidRDefault="001C20C4" w:rsidP="001C20C4">
            <w:pPr>
              <w:pStyle w:val="NormalWeb"/>
              <w:ind w:left="720"/>
              <w:jc w:val="both"/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Todos los trabajadores, funcionarios y empleados del contratista, estarán cubiertos bajo el Seguro de la Póliza de Accidentes Personales (que cubre gastos médicos  invalidez parcial permanente, invalidez total y permanente y muerte), por lesiones corporales sufridas como consecuencia directa e inmediata de los accidentes que ocurran en el desempeño de su trabajo.</w:t>
            </w:r>
          </w:p>
          <w:p w:rsidR="001C20C4" w:rsidRPr="00316A20" w:rsidRDefault="001C20C4" w:rsidP="001C20C4">
            <w:pPr>
              <w:pStyle w:val="NormalWeb"/>
              <w:ind w:left="720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 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Condiciones Adicionales</w:t>
            </w:r>
            <w:r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.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b/>
                <w:bCs/>
                <w:i w:val="0"/>
                <w:color w:val="000000"/>
                <w:sz w:val="22"/>
                <w:szCs w:val="22"/>
              </w:rPr>
              <w:t> </w:t>
            </w:r>
          </w:p>
          <w:p w:rsidR="001C20C4" w:rsidRDefault="001C20C4" w:rsidP="001C20C4">
            <w:pPr>
              <w:pStyle w:val="NormalWeb"/>
              <w:jc w:val="both"/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Las Pólizas de Seguro anteriormente mencionadas, deberán cumplir las siguientes condiciones adicionales:</w:t>
            </w:r>
          </w:p>
          <w:p w:rsidR="001C20C4" w:rsidRPr="001C60B6" w:rsidRDefault="001C20C4" w:rsidP="001C20C4">
            <w:pPr>
              <w:pStyle w:val="NormalWeb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  <w:p w:rsidR="001C20C4" w:rsidRPr="001C20C4" w:rsidRDefault="001C20C4" w:rsidP="001C20C4">
            <w:pPr>
              <w:pStyle w:val="NormalWeb"/>
              <w:numPr>
                <w:ilvl w:val="0"/>
                <w:numId w:val="19"/>
              </w:numPr>
              <w:jc w:val="both"/>
              <w:rPr>
                <w:rStyle w:val="nfasis"/>
                <w:rFonts w:ascii="Calibri" w:eastAsia="Times New Roman" w:hAnsi="Calibri"/>
                <w:iCs w:val="0"/>
                <w:color w:val="000000"/>
                <w:sz w:val="22"/>
                <w:szCs w:val="22"/>
              </w:rPr>
            </w:pPr>
            <w:r w:rsidRPr="001C60B6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lastRenderedPageBreak/>
              <w:t>De suspenderse por cualquier razón la vigencia o cobertura de la Póliza nominada precedentemente, o bien se presente la existencia de eventos no cubiertos por la misma; la empresa adjudicada y/o contratista se hace enteramente responsable frente a YPFB y a terceros, por todos los daños emergentes en el desempeño de sus funciones.</w:t>
            </w:r>
          </w:p>
          <w:p w:rsidR="001C20C4" w:rsidRPr="001C20C4" w:rsidRDefault="001C20C4" w:rsidP="001C20C4">
            <w:pPr>
              <w:pStyle w:val="NormalWeb"/>
              <w:ind w:left="720"/>
              <w:jc w:val="both"/>
              <w:rPr>
                <w:rStyle w:val="nfasis"/>
                <w:rFonts w:ascii="Calibri" w:eastAsia="Times New Roman" w:hAnsi="Calibri"/>
                <w:iCs w:val="0"/>
                <w:color w:val="000000"/>
                <w:sz w:val="22"/>
                <w:szCs w:val="22"/>
              </w:rPr>
            </w:pPr>
          </w:p>
          <w:p w:rsidR="00542A4F" w:rsidRPr="001C20C4" w:rsidRDefault="001C20C4" w:rsidP="001C20C4">
            <w:pPr>
              <w:pStyle w:val="NormalWeb"/>
              <w:numPr>
                <w:ilvl w:val="0"/>
                <w:numId w:val="19"/>
              </w:numPr>
              <w:jc w:val="both"/>
              <w:rPr>
                <w:rStyle w:val="nfasis"/>
                <w:rFonts w:ascii="Calibri" w:eastAsia="Times New Roman" w:hAnsi="Calibri"/>
                <w:iCs w:val="0"/>
                <w:color w:val="000000"/>
                <w:sz w:val="22"/>
                <w:szCs w:val="22"/>
              </w:rPr>
            </w:pPr>
            <w:r w:rsidRPr="00316A20">
              <w:rPr>
                <w:rStyle w:val="nfasis"/>
                <w:rFonts w:ascii="Calibri" w:hAnsi="Calibri"/>
                <w:i w:val="0"/>
                <w:color w:val="000000"/>
                <w:sz w:val="22"/>
                <w:szCs w:val="22"/>
              </w:rPr>
              <w:t>El Contratista, una vez adjudicado, deberá entregar una copia  de la citada póliza a YPFB antes de la suscripción del contrato.</w:t>
            </w:r>
          </w:p>
          <w:p w:rsidR="001C20C4" w:rsidRPr="001C20C4" w:rsidRDefault="001C20C4" w:rsidP="001C20C4">
            <w:pPr>
              <w:pStyle w:val="NormalWeb"/>
              <w:jc w:val="both"/>
              <w:rPr>
                <w:rFonts w:ascii="Calibri" w:eastAsia="Times New Roman" w:hAnsi="Calibri"/>
                <w:i/>
                <w:color w:val="000000"/>
                <w:sz w:val="22"/>
                <w:szCs w:val="22"/>
              </w:rPr>
            </w:pPr>
          </w:p>
        </w:tc>
      </w:tr>
      <w:tr w:rsidR="00796DFD" w:rsidRPr="00340FB3" w:rsidTr="00954D88">
        <w:trPr>
          <w:trHeight w:val="3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796DFD" w:rsidRPr="00423E80" w:rsidRDefault="00796DFD" w:rsidP="00796DFD">
            <w:pPr>
              <w:pStyle w:val="Textoindependiente"/>
              <w:spacing w:after="0"/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lastRenderedPageBreak/>
              <w:t>SEGURIDAD Y SALUD OCUPACIONAL.</w:t>
            </w:r>
          </w:p>
        </w:tc>
      </w:tr>
      <w:tr w:rsidR="00796DFD" w:rsidRPr="006F4488" w:rsidTr="001B7C49">
        <w:trPr>
          <w:trHeight w:val="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DFD" w:rsidRPr="00423E80" w:rsidRDefault="00796DFD" w:rsidP="00796DFD">
            <w:pPr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bookmarkStart w:id="1" w:name="_Toc455148469"/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ASPECTOS DE SEGURIDAD Y SALUD OCUPACIONAL</w:t>
            </w:r>
            <w:bookmarkEnd w:id="1"/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Posterior a la adjudicación y antes del inicio de las actividades,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la Empresa Contratada deberá presentar el siguiente documento para la aprobación de la Dirección de SMS de YPFB: </w:t>
            </w:r>
          </w:p>
          <w:p w:rsidR="00796DFD" w:rsidRPr="00423E80" w:rsidRDefault="00796DFD" w:rsidP="00796DFD">
            <w:pPr>
              <w:pStyle w:val="Prrafodelista"/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ind w:left="426" w:hanging="284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     </w:t>
            </w: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Declaración jurada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“Compromiso de SMS” para Cumplimiento de los Requisitos de Seguridad Industrial, Salud Ocupacional y Medio Ambiente para contratistas de YPFB Corporación. </w:t>
            </w:r>
          </w:p>
          <w:p w:rsidR="00796DFD" w:rsidRPr="00423E80" w:rsidRDefault="00796DFD" w:rsidP="00796DFD">
            <w:pPr>
              <w:autoSpaceDE w:val="0"/>
              <w:autoSpaceDN w:val="0"/>
              <w:ind w:left="426" w:hanging="284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La empresa Contratada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796DFD" w:rsidRPr="00423E80" w:rsidRDefault="00796DFD" w:rsidP="00796DFD">
            <w:pPr>
              <w:autoSpaceDE w:val="0"/>
              <w:autoSpaceDN w:val="0"/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ind w:left="426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Deberá presentar la “Declaración Jurada” debidamente firmada por el representante legal de la empresa, adjuntando la fotocopia firmada del documento de identificación (pasaporte/CI). </w:t>
            </w:r>
          </w:p>
          <w:p w:rsidR="00796DFD" w:rsidRPr="00423E80" w:rsidRDefault="00796DFD" w:rsidP="00796DFD">
            <w:pPr>
              <w:ind w:left="426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Posterior a ser Contratada la empresa y Antes del inicio de las actividades: </w:t>
            </w:r>
          </w:p>
          <w:p w:rsidR="00796DFD" w:rsidRPr="00423E80" w:rsidRDefault="00796DFD" w:rsidP="00796DFD">
            <w:pPr>
              <w:pStyle w:val="Prrafodelista"/>
              <w:ind w:left="72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4D4C00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empresa contratada deberá cumplir de forma obligatoria con los estándares de Seguridad Industrial y Salud Ocupacional: </w:t>
            </w:r>
          </w:p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ApendiceA"/>
              <w:numPr>
                <w:ilvl w:val="0"/>
                <w:numId w:val="0"/>
              </w:numPr>
              <w:rPr>
                <w:rFonts w:ascii="Calibri" w:hAnsi="Calibri"/>
                <w:bCs w:val="0"/>
                <w:iCs/>
                <w:color w:val="000000"/>
                <w:lang w:val="es-ES" w:eastAsia="es-ES"/>
              </w:rPr>
            </w:pPr>
            <w:r w:rsidRPr="00423E80">
              <w:rPr>
                <w:rFonts w:ascii="Calibri" w:hAnsi="Calibri"/>
                <w:bCs w:val="0"/>
                <w:iCs/>
                <w:color w:val="000000"/>
                <w:lang w:val="es-ES" w:eastAsia="es-ES"/>
              </w:rPr>
              <w:t>Estándares y requisitos de SYSO para Contratistas de YPFB Corporación.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 xml:space="preserve">La empresa Contratista, deberá garantizar el cumplimiento de los requisitos y estándares de Seguridad descritos en el </w:t>
            </w:r>
            <w:r w:rsidRPr="00423E80">
              <w:rPr>
                <w:rFonts w:ascii="Calibri" w:hAnsi="Calibri"/>
                <w:b/>
                <w:iCs/>
                <w:color w:val="000000"/>
              </w:rPr>
              <w:t>Anexo: “REQUISITOS DE SEGURIDAD INDUSTRIAL PARA CONTRATISTAS”</w:t>
            </w:r>
            <w:r w:rsidRPr="00423E80">
              <w:rPr>
                <w:rFonts w:ascii="Calibri" w:hAnsi="Calibri"/>
                <w:iCs/>
                <w:color w:val="000000"/>
              </w:rPr>
              <w:t xml:space="preserve">, documento elaborado conforme a políticas internas de YPFB y en estricto cumplimiento de la normativa legal vigente (D.L. 16998). 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>Los requisitos de SYSO son aplicables en base al Análisis Preliminar de Peligros y Riegos elaborado para cada actividad y/o servicio a realizar. En función de ello, podrán establecerse requisitos adicionales y/o verificar la “no aplicación de ciertos requisitos de SYSO” de acuerdo a las actividades del servicio.</w:t>
            </w:r>
          </w:p>
          <w:p w:rsidR="00796DFD" w:rsidRPr="00423E80" w:rsidRDefault="00796DFD" w:rsidP="00796DFD">
            <w:pPr>
              <w:pStyle w:val="ApendiceA2"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pStyle w:val="Ttulo2"/>
              <w:numPr>
                <w:ilvl w:val="0"/>
                <w:numId w:val="21"/>
              </w:numPr>
              <w:spacing w:before="0" w:after="0"/>
              <w:jc w:val="both"/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</w:pPr>
            <w:bookmarkStart w:id="2" w:name="_Toc455148470"/>
            <w:r w:rsidRPr="00423E80"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  <w:t>Aspectos Generales:</w:t>
            </w:r>
            <w:bookmarkEnd w:id="2"/>
            <w:r w:rsidRPr="00423E80">
              <w:rPr>
                <w:rFonts w:ascii="Calibri" w:hAnsi="Calibri" w:cs="Times New Roman"/>
                <w:bCs w:val="0"/>
                <w:i w:val="0"/>
                <w:color w:val="000000"/>
                <w:sz w:val="22"/>
                <w:szCs w:val="22"/>
              </w:rPr>
              <w:t xml:space="preserve"> </w:t>
            </w: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Empresa Contratada, deberá presentar un </w:t>
            </w: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Resumen Ejecutivo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del “Plan de SMS” (Seguridad, Medio Ambiente y Salud Ocupacional), el cual (en cumplimiento a la Legislación vigente - DL 16998 – Ley de Higiene, Seguridad Ocupacional y Bienestar) deberá contener mínimamente los siguientes puntos: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3.1  Medidas preventivas en Seguridad, Salud Ocupacional (prevención de accidentes)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3.2  Uso de EPP (Equipo de Protección Personal, de acuerdo a las actividades específicas)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3.3  Identificación y evaluación de riesgos e impactos en el trabajo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3.4 Lista general de Procedimientos de trabajo (altura, eléctrico, espacios confinados, etc.) según corresponda.</w:t>
            </w:r>
          </w:p>
          <w:p w:rsidR="00796DFD" w:rsidRPr="00423E80" w:rsidRDefault="00796DFD" w:rsidP="00796DFD">
            <w:pPr>
              <w:ind w:left="36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lastRenderedPageBreak/>
              <w:t>3.5  Política de Seguridad, Salud Ocupacional y Medio Ambiente (En caso de que la empresa cuente con un sistema de Gestión de SySO)</w:t>
            </w:r>
          </w:p>
          <w:p w:rsidR="00796DFD" w:rsidRPr="00423E80" w:rsidRDefault="00796DFD" w:rsidP="00664352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 xml:space="preserve">Documentos para aprobación de YPFB (Unidad de SMS – Unidad solicitante) </w:t>
            </w: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La Empresa contratada deberá presentar en documentos oficiales para aprobación de YPFB los siguientes Requisitos de SMS, de acuerdo a las actividades del Servicio: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4.1 Programa o Plan de Seguridad, Salud Ocupacional y Medio Ambiente para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4.2 Política y programas de control de Alcohol y drogas.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4.3  Programa de capacitación y charlas de seguridad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4.4 Procedimientos específicos de Seguridad para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4.5 Plan de respuesta ante Emergencias (Para el Servicio).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4.6 Plan Médico de Evacuación (MEDEVAC)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4.7 Programa de retiro y disposición de los residuos originados en el Servicio.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Antes del inicio de actividades, la empresa contratada debe cumplir con los siguientes requisitos de SMS: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5.1 Nómina (nombre completo y cédula de identidad) del personal a cargo de los trabajos 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5.2 Nota formal de la empresa a YPFB designando al supervisor de SMS para el Servicio.  (Incluir el Curriculum Vitae no documentado)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5.3 Seguro médico.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5.4 Pólizas contra accidentes personales y Seguro de Vida ( por </w:t>
            </w:r>
            <w:r w:rsidR="004967F7">
              <w:rPr>
                <w:rFonts w:ascii="Calibri" w:hAnsi="Calibri"/>
                <w:iCs/>
                <w:color w:val="000000"/>
                <w:sz w:val="22"/>
                <w:szCs w:val="22"/>
              </w:rPr>
              <w:t>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.000,00 $us)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5.5 Uso obligatorio de Ropa de trabajo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5.6 Uso de señalética en el área o frentes de trabajo.</w:t>
            </w:r>
          </w:p>
          <w:p w:rsidR="00796DFD" w:rsidRPr="00423E80" w:rsidRDefault="00796DFD" w:rsidP="00796DFD">
            <w:pPr>
              <w:ind w:left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 Uso obligatorio de EPP (Equipo de protección personal)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5.7.1.  Casco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5.7.2.  Lentes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5.7.3.  Botín / Bota de seguridad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5.7.4.  Guantes (de acuerdo a las actividades a desarrollar)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5.7.5.  Protector auditivo (en caso de requerirse en la actividad)</w:t>
            </w:r>
          </w:p>
          <w:p w:rsidR="00796DFD" w:rsidRPr="00423E80" w:rsidRDefault="00796DFD" w:rsidP="00796DFD">
            <w:pPr>
              <w:ind w:left="1134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ind w:firstLine="36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EPP Para riesgos especiales (según Corresponda)</w:t>
            </w:r>
          </w:p>
          <w:p w:rsidR="00796DFD" w:rsidRPr="00423E80" w:rsidRDefault="00796DFD" w:rsidP="00796DFD">
            <w:pPr>
              <w:ind w:left="108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5.7.6.   Trabajos en altura</w:t>
            </w:r>
          </w:p>
          <w:p w:rsidR="00796DFD" w:rsidRPr="00423E80" w:rsidRDefault="00796DFD" w:rsidP="00796DFD">
            <w:pPr>
              <w:ind w:left="108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5.7.7.   Trabajos eléctricos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5.7.8.   Trabajos en espacios confinados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5.7.9.   Trabajos en zanja abierta</w:t>
            </w:r>
          </w:p>
          <w:p w:rsidR="00796DFD" w:rsidRPr="00423E80" w:rsidRDefault="00796DFD" w:rsidP="00796DFD">
            <w:pPr>
              <w:ind w:left="1080"/>
              <w:contextualSpacing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5.7.10. Trabajos con cargas suspendidas</w:t>
            </w:r>
          </w:p>
          <w:p w:rsidR="00796DFD" w:rsidRPr="00423E80" w:rsidRDefault="00796DFD" w:rsidP="00796DFD">
            <w:pPr>
              <w:ind w:left="108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5.7.11. Trabajos con materiales peligrosos</w:t>
            </w:r>
          </w:p>
          <w:p w:rsidR="00796DFD" w:rsidRPr="00423E80" w:rsidRDefault="00796DFD" w:rsidP="00796DFD">
            <w:pPr>
              <w:pStyle w:val="Prrafodelista"/>
              <w:ind w:left="72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Toda Empresa Contratista 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  <w:u w:val="single"/>
              </w:rPr>
              <w:t>directa de YPFB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, que subcontrate servicios de un tercero, deberá cumplir y hacer cumplir los Requisitos de Seguridad Industrial, Salud Ocupacional y Medio Ambiente,  remitiendo a YPFB la documentación correspondiente a los requisitos SMS para garantizar la correcta ejecución del Servicio, en el marco de cumplimiento de la normativa legal vigente aplicable al contrato de dicho Servicio.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1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Se deja claramente establecido la prohibición total y definitiva de ingreso a ejecución de trabajos con pasantes y/o practicantes de la contratista y/o sub contratista en proyectos de YPFB. </w:t>
            </w:r>
          </w:p>
          <w:p w:rsidR="00796DFD" w:rsidRPr="00423E80" w:rsidRDefault="00796DFD" w:rsidP="00796DFD">
            <w:pPr>
              <w:pStyle w:val="ApendiceA2"/>
              <w:numPr>
                <w:ilvl w:val="0"/>
                <w:numId w:val="21"/>
              </w:numPr>
              <w:contextualSpacing/>
              <w:rPr>
                <w:rFonts w:ascii="Calibri" w:hAnsi="Calibri"/>
                <w:iCs/>
                <w:color w:val="000000"/>
              </w:rPr>
            </w:pPr>
            <w:r w:rsidRPr="00423E80">
              <w:rPr>
                <w:rFonts w:ascii="Calibri" w:hAnsi="Calibri"/>
                <w:iCs/>
                <w:color w:val="000000"/>
              </w:rPr>
              <w:t xml:space="preserve">YPFB Corporación se reserva el derecho de solicitar nuevos requisitos de SYSO   que sean necesarios para garantizar la correcta ejecución de la actividad, cuyo objetivo es prevenir accidentes e </w:t>
            </w:r>
            <w:r w:rsidRPr="00423E80">
              <w:rPr>
                <w:rFonts w:ascii="Calibri" w:hAnsi="Calibri"/>
                <w:iCs/>
                <w:color w:val="000000"/>
              </w:rPr>
              <w:lastRenderedPageBreak/>
              <w:t>incidentes. vigente en materia de SYSO y los aspectos normativos y regulatorios de YPFB Corporación.</w:t>
            </w:r>
          </w:p>
          <w:p w:rsidR="00796DFD" w:rsidRPr="00423E80" w:rsidRDefault="00796DFD" w:rsidP="00796DFD">
            <w:pPr>
              <w:pStyle w:val="ApendiceA2"/>
              <w:ind w:left="720"/>
              <w:contextualSpacing/>
              <w:rPr>
                <w:rFonts w:ascii="Calibri" w:hAnsi="Calibri"/>
                <w:iCs/>
                <w:color w:val="000000"/>
              </w:rPr>
            </w:pP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Entre los requisitos mínimos que la empresa contratista deberá cumplir para la habilitación de su personal para ingreso a Plantas están: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Ropa de trabajo (pantalón jean y camisa manga larga, mínimamente 80% algodón), casco de seguridad, botas de seguridad, gafas de seguridad y protector auditivo.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Seguro de vida y Seguro contra accidentes personales (</w:t>
            </w:r>
            <w:r w:rsidR="007232DA">
              <w:rPr>
                <w:rFonts w:ascii="Calibri" w:hAnsi="Calibri"/>
                <w:iCs/>
                <w:color w:val="000000"/>
                <w:sz w:val="22"/>
                <w:szCs w:val="22"/>
              </w:rPr>
              <w:t>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.000,00 $us)</w:t>
            </w:r>
          </w:p>
          <w:p w:rsidR="00796DFD" w:rsidRPr="00423E80" w:rsidRDefault="00796DFD" w:rsidP="00796DFD">
            <w:pPr>
              <w:numPr>
                <w:ilvl w:val="0"/>
                <w:numId w:val="22"/>
              </w:numPr>
              <w:ind w:left="567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Vacunas vigentes.</w:t>
            </w:r>
          </w:p>
          <w:tbl>
            <w:tblPr>
              <w:tblW w:w="1701" w:type="dxa"/>
              <w:tblInd w:w="5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1"/>
            </w:tblGrid>
            <w:tr w:rsidR="00796DFD" w:rsidRPr="00423E80" w:rsidTr="001C0684">
              <w:trPr>
                <w:trHeight w:val="248"/>
              </w:trPr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Tétanos.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Fiebre Amarilla.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Hepatitis B.</w:t>
                  </w: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17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Fiebre Tifoidea.</w:t>
                  </w:r>
                </w:p>
              </w:tc>
            </w:tr>
          </w:tbl>
          <w:p w:rsidR="00796DFD" w:rsidRPr="00423E80" w:rsidRDefault="00796DFD" w:rsidP="00796DFD">
            <w:pPr>
              <w:numPr>
                <w:ilvl w:val="0"/>
                <w:numId w:val="23"/>
              </w:numPr>
              <w:ind w:left="567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Capacitaciones y/o cursos.</w:t>
            </w:r>
          </w:p>
          <w:tbl>
            <w:tblPr>
              <w:tblW w:w="0" w:type="auto"/>
              <w:tblInd w:w="56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3544"/>
            </w:tblGrid>
            <w:tr w:rsidR="00796DFD" w:rsidRPr="00423E80" w:rsidTr="001C0684">
              <w:trPr>
                <w:trHeight w:val="248"/>
              </w:trPr>
              <w:tc>
                <w:tcPr>
                  <w:tcW w:w="31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Combate y control de incendios.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Solo para contratistas que realicen actividades que requieran estos cursos.</w:t>
                  </w:r>
                </w:p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Equipo de protección personal.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Comunicación de peligros.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96DFD" w:rsidRPr="00423E80" w:rsidTr="001C0684">
              <w:trPr>
                <w:trHeight w:val="262"/>
              </w:trPr>
              <w:tc>
                <w:tcPr>
                  <w:tcW w:w="3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96DFD" w:rsidRPr="00423E80" w:rsidRDefault="00796DFD" w:rsidP="00796DFD">
                  <w:pPr>
                    <w:autoSpaceDE w:val="0"/>
                    <w:autoSpaceDN w:val="0"/>
                    <w:jc w:val="both"/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  <w:r w:rsidRPr="00423E80"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  <w:t>Primeros auxilios.</w:t>
                  </w:r>
                </w:p>
              </w:tc>
              <w:tc>
                <w:tcPr>
                  <w:tcW w:w="3544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96DFD" w:rsidRPr="00423E80" w:rsidRDefault="00796DFD" w:rsidP="00796DFD">
                  <w:pPr>
                    <w:rPr>
                      <w:rFonts w:ascii="Calibri" w:hAnsi="Calibri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b/>
                <w:iCs/>
                <w:color w:val="000000"/>
                <w:sz w:val="22"/>
                <w:szCs w:val="22"/>
              </w:rPr>
              <w:t>Nota: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Todos los contratistas deben pasar la inducción de ingreso a Plantas y tener claramente identificados los riesgos de su actividad. </w:t>
            </w:r>
          </w:p>
          <w:p w:rsidR="00796DFD" w:rsidRPr="00423E80" w:rsidRDefault="00796DFD" w:rsidP="00796DFD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En caso de ser requerido el ingreso de vehículos livianos a Plantas, la empresa contratista deberá asegurar que el vehículo cuente con los siguientes requisitos mínimos para su habilitación previo al ingreso: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Antigüedad no mayor a 5 a</w:t>
            </w:r>
            <w:r w:rsidR="004967F7">
              <w:rPr>
                <w:rFonts w:ascii="Calibri" w:hAnsi="Calibri"/>
                <w:iCs/>
                <w:color w:val="000000"/>
                <w:sz w:val="22"/>
                <w:szCs w:val="22"/>
              </w:rPr>
              <w:t>ños para vehículo liviano, de 15</w:t>
            </w: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 años para camiones.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Seguro de accidente vehicular.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Inspección técnica por empresa certificada (Petrovisa, Ibnorca, etc.)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Inspección técnica vehicular realizada por la Dirección de Transito de la Policía Boliviana.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Debe obligatoriamente estar identificado.</w:t>
            </w:r>
          </w:p>
          <w:p w:rsidR="00796DFD" w:rsidRPr="00423E80" w:rsidRDefault="00796DFD" w:rsidP="00796DFD">
            <w:pPr>
              <w:numPr>
                <w:ilvl w:val="0"/>
                <w:numId w:val="24"/>
              </w:numPr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Estar equipados mínimamente con 2 extintores de polvo químico seco tipo ABC de capacidad mínima de 6 kg. en caso de vehículo semi pesados y pesados y en caso de vehículo liviano 1 extintor de polvo químico seco tipo ABC de capacidad mínima de 2 kg.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Disponer de 2 triángulos de emergencia como mínimo.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Tener alarmas audibles de retroceso necesariamente.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4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Deberá contar con arrestallamas para ingresar a la Planta.</w:t>
            </w: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Además el conductor del vehículo deberá presentar previo a su ingreso a la Planta: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Licencia de conducir vigente de acuerdo al tipo de vehículo que utilizara el proveedor.</w:t>
            </w:r>
          </w:p>
          <w:p w:rsidR="00796DFD" w:rsidRPr="00423E80" w:rsidRDefault="00796DFD" w:rsidP="00796DFD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>Contar con certificado de manejo defensivo vigente.</w:t>
            </w:r>
          </w:p>
          <w:p w:rsidR="00796DFD" w:rsidRPr="00423E80" w:rsidRDefault="00796DFD" w:rsidP="00796DFD">
            <w:pPr>
              <w:pStyle w:val="Prrafodelista"/>
              <w:ind w:left="0"/>
              <w:contextualSpacing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  <w:p w:rsidR="00796DFD" w:rsidRPr="00423E80" w:rsidRDefault="00796DFD" w:rsidP="00796DFD">
            <w:pPr>
              <w:autoSpaceDE w:val="0"/>
              <w:autoSpaceDN w:val="0"/>
              <w:jc w:val="both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423E80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La inspección de vehículos y equipos será realizada por la empresa contratista y validada por personal de SMS de YPFB para garantizar que los mismos estén en buenas condiciones mecánicas y técnicas de funcionamiento previo el ingreso a la Planta. </w:t>
            </w:r>
          </w:p>
        </w:tc>
      </w:tr>
    </w:tbl>
    <w:p w:rsidR="008B5AEE" w:rsidRDefault="008B5AEE" w:rsidP="00DD0DF7">
      <w:pPr>
        <w:ind w:right="283"/>
        <w:jc w:val="right"/>
        <w:rPr>
          <w:rFonts w:ascii="Calibri" w:hAnsi="Calibri"/>
          <w:i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Style w:val="Tablaconcuadrcula"/>
        <w:tblW w:w="9654" w:type="dxa"/>
        <w:tblLook w:val="04A0" w:firstRow="1" w:lastRow="0" w:firstColumn="1" w:lastColumn="0" w:noHBand="0" w:noVBand="1"/>
      </w:tblPr>
      <w:tblGrid>
        <w:gridCol w:w="9654"/>
      </w:tblGrid>
      <w:tr w:rsidR="00083F35" w:rsidTr="00EB392C">
        <w:trPr>
          <w:trHeight w:val="401"/>
        </w:trPr>
        <w:tc>
          <w:tcPr>
            <w:tcW w:w="9654" w:type="dxa"/>
            <w:shd w:val="clear" w:color="auto" w:fill="DEEAF6" w:themeFill="accent1" w:themeFillTint="33"/>
            <w:vAlign w:val="center"/>
          </w:tcPr>
          <w:p w:rsidR="00083F35" w:rsidRDefault="00083F35" w:rsidP="00EB39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GARANTÍAS FINANCIERAS.</w:t>
            </w:r>
          </w:p>
        </w:tc>
      </w:tr>
      <w:tr w:rsidR="00083F35" w:rsidRPr="00174481" w:rsidTr="00083F35">
        <w:trPr>
          <w:trHeight w:val="1261"/>
        </w:trPr>
        <w:tc>
          <w:tcPr>
            <w:tcW w:w="9654" w:type="dxa"/>
            <w:vAlign w:val="center"/>
          </w:tcPr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GARANTÍA DE SERIEDAD DE PROPUESTA</w:t>
            </w:r>
            <w:r w:rsidRPr="002C2F4D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.</w:t>
            </w:r>
          </w:p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A elección de la empresa 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proponente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,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ésta podrá optar por uno de los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 w:rsidRPr="002C2F4D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siguientes instrumentos financie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ros: </w:t>
            </w:r>
          </w:p>
          <w:p w:rsidR="00083F35" w:rsidRPr="003E6E52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12"/>
                <w:szCs w:val="22"/>
                <w:lang w:val="es-BO"/>
              </w:rPr>
            </w:pPr>
          </w:p>
          <w:p w:rsidR="00083F35" w:rsidRPr="004369C6" w:rsidRDefault="00083F35" w:rsidP="00EB392C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Boleta de Garantía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,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inmediata con vigencia de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ciento cincuenta (150)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días calendario computables a partir de la fecha de Presentación de Propuestas, por un monto equivalente de al menos Uno (1) % del valor total de la propuesta económica.</w:t>
            </w:r>
          </w:p>
          <w:p w:rsidR="00083F35" w:rsidRPr="003E6E52" w:rsidRDefault="00083F35" w:rsidP="00EB392C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14"/>
                <w:szCs w:val="22"/>
                <w:lang w:val="es-BO"/>
              </w:rPr>
            </w:pPr>
          </w:p>
          <w:p w:rsidR="00083F35" w:rsidRPr="004369C6" w:rsidRDefault="00083F35" w:rsidP="00EB392C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Garantía a Primer Requerimiento,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Entidad 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 / YPFB, con las características expresas de renovable, irrevocable y de ejecución a primer requerimiento con vigencia de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ciento cincuenta (150)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días calendario computables a partir de la fecha de Presentación de Propuestas, por un monto equivalente de al menos Uno (1) % del valor total la propuesta económica.</w:t>
            </w:r>
          </w:p>
          <w:p w:rsidR="00083F35" w:rsidRDefault="00083F35" w:rsidP="00EB392C">
            <w:p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083F35" w:rsidRPr="004369C6" w:rsidRDefault="00083F35" w:rsidP="00EB392C">
            <w:pPr>
              <w:pStyle w:val="Prrafodelista"/>
              <w:numPr>
                <w:ilvl w:val="0"/>
                <w:numId w:val="12"/>
              </w:numPr>
              <w:tabs>
                <w:tab w:val="left" w:pos="1965"/>
              </w:tabs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4369C6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Póliza de caución a Primer requerimiento para Entidades Públicas,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empresa aseguradora del Estado Plurinacional de Bolivia,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ciento cincuenta (150)</w:t>
            </w:r>
            <w:r w:rsidRPr="004369C6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días calendario computables a partir de la fecha de Presentación de Propuestas, por un monto equivalente de al menos Uno (1) % del valor total de la propuesta económica.</w:t>
            </w:r>
          </w:p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</w:pPr>
          </w:p>
          <w:p w:rsidR="00083F35" w:rsidRPr="005B78C0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GARANTÍ</w:t>
            </w: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es-BO"/>
              </w:rPr>
              <w:t>A DE CUMPLIMIENTO DE CONTRATO</w:t>
            </w: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 xml:space="preserve">. </w:t>
            </w:r>
          </w:p>
          <w:p w:rsidR="00083F35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 elección de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l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empresa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adjudicada, ésta podrá optar por uno de los siguientes instrumentos financieros:</w:t>
            </w:r>
          </w:p>
          <w:p w:rsidR="00083F35" w:rsidRPr="005B78C0" w:rsidRDefault="00083F35" w:rsidP="00EB392C">
            <w:pPr>
              <w:tabs>
                <w:tab w:val="left" w:pos="1965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083F35" w:rsidRDefault="00083F35" w:rsidP="00EB392C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Boleta de Garantía,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emitida por una Entidad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de Intermediación Financiera (Bancaria) del Estado Plurinacional de Bolivia con estructura de alcance a nivel nacional, registrada, autorizada y bajo el control de la Autoridad de Supervisión del Sistema Financiero-ASFI, a la orden/a favor de Yacimientos Petrolíferos Fiscales Bolivianos/YPFB, con características expresas de renovable, irrevocable y de ejecución inmediata con vigencia de 60 días calendario adicionales a la vigencia del contrato, por un monto equivalente al 7% del valor total del contrato.</w:t>
            </w:r>
          </w:p>
          <w:p w:rsidR="00083F35" w:rsidRDefault="00083F35" w:rsidP="00EB392C">
            <w:p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</w:p>
          <w:p w:rsidR="00083F35" w:rsidRDefault="00083F35" w:rsidP="00EB392C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Cs/>
                <w:sz w:val="22"/>
                <w:szCs w:val="22"/>
                <w:lang w:val="es-BO"/>
              </w:rPr>
            </w:pPr>
            <w:r w:rsidRPr="005B78C0">
              <w:rPr>
                <w:rFonts w:ascii="Calibri" w:hAnsi="Calibri" w:cs="Calibri"/>
                <w:b/>
                <w:bCs/>
                <w:sz w:val="22"/>
                <w:szCs w:val="22"/>
                <w:lang w:val="es-BO"/>
              </w:rPr>
              <w:t>Garantía a Primer Requerimiento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, emitida por una Entidad 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de Intermediación Financiera (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Bancaria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)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del Estado Plurinacional de Bolivia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 xml:space="preserve"> con estructura de alcance a nivel nacional, registrada, 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autorizada y bajo el control de la Autoridad de Supervisión del Sistema Financiero-ASFI, a la orden/a favor de Yacimientos Petrolíferos Fiscales Bolivianos</w:t>
            </w:r>
            <w:r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/YPFB</w:t>
            </w:r>
            <w:r w:rsidRPr="005B78C0">
              <w:rPr>
                <w:rFonts w:ascii="Calibri" w:hAnsi="Calibri" w:cs="Calibri"/>
                <w:bCs/>
                <w:sz w:val="22"/>
                <w:szCs w:val="22"/>
                <w:lang w:val="es-BO"/>
              </w:rPr>
              <w:t>, con características expresas de renovable, irrevocable y de ejecución a primer requerimiento con vigencia de sesenta (60) días calendario adicionales a la vigencia del contrato, por un importe equivalente al 7% del valor total del contrato.</w:t>
            </w:r>
          </w:p>
          <w:p w:rsidR="00083F35" w:rsidRDefault="00083F35" w:rsidP="00EB392C">
            <w:pPr>
              <w:pStyle w:val="Prrafodelista"/>
              <w:ind w:left="171" w:hanging="171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</w:p>
          <w:p w:rsidR="00083F35" w:rsidRPr="00174481" w:rsidRDefault="00083F35" w:rsidP="00EB392C">
            <w:pPr>
              <w:numPr>
                <w:ilvl w:val="0"/>
                <w:numId w:val="10"/>
              </w:numPr>
              <w:ind w:left="171" w:hanging="171"/>
              <w:jc w:val="both"/>
              <w:rPr>
                <w:rFonts w:ascii="Calibri" w:hAnsi="Calibri" w:cs="Calibri"/>
                <w:b/>
                <w:sz w:val="22"/>
                <w:szCs w:val="22"/>
                <w:lang w:val="es-BO"/>
              </w:rPr>
            </w:pPr>
            <w:r w:rsidRPr="008004EB">
              <w:rPr>
                <w:rFonts w:ascii="Calibri" w:hAnsi="Calibri" w:cs="Calibri"/>
                <w:b/>
                <w:sz w:val="22"/>
                <w:szCs w:val="22"/>
                <w:lang w:val="es-BO"/>
              </w:rPr>
              <w:t>Póliza de caución a Primer requerimiento para Entidades Públicas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, emitida por una empresa aseguradora del Estado Plurinacional de Bolivia , registrada, autorizada y bajo el control de la Autoridad 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lastRenderedPageBreak/>
              <w:t>de Fiscalización y Control de Pensiones y Seguros a la orden/a favor de Yacimientos Petrolíferos Fiscales Bolivianos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/YPFB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>, con las características expresas de renovable, irrevocable y de ejecución a primer requerim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iento con vigencia de 60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días calendario adicionales a la vigencia del contrato, por un </w:t>
            </w:r>
            <w:r>
              <w:rPr>
                <w:rFonts w:ascii="Calibri" w:hAnsi="Calibri" w:cs="Calibri"/>
                <w:sz w:val="22"/>
                <w:szCs w:val="22"/>
                <w:lang w:val="es-BO"/>
              </w:rPr>
              <w:t>monto</w:t>
            </w:r>
            <w:r w:rsidRPr="008004EB">
              <w:rPr>
                <w:rFonts w:ascii="Calibri" w:hAnsi="Calibri" w:cs="Calibri"/>
                <w:sz w:val="22"/>
                <w:szCs w:val="22"/>
                <w:lang w:val="es-BO"/>
              </w:rPr>
              <w:t xml:space="preserve"> equivalente al 7% del valor total del contrato.</w:t>
            </w:r>
          </w:p>
        </w:tc>
      </w:tr>
    </w:tbl>
    <w:p w:rsidR="00083F35" w:rsidRPr="003102D7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  <w:lang w:val="es-BO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083F35" w:rsidRPr="009843B1" w:rsidRDefault="00083F35" w:rsidP="00083F35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9843B1">
        <w:rPr>
          <w:rFonts w:asciiTheme="minorHAnsi" w:hAnsiTheme="minorHAnsi" w:cs="Arial"/>
          <w:b/>
          <w:bCs/>
          <w:sz w:val="22"/>
          <w:szCs w:val="22"/>
        </w:rPr>
        <w:lastRenderedPageBreak/>
        <w:t>INSTRUCCIONES PARA LA EMISION DE INSTRUMENTOS FINANCIEROS -V.3</w:t>
      </w:r>
    </w:p>
    <w:p w:rsidR="00083F35" w:rsidRPr="009843B1" w:rsidRDefault="00083F35" w:rsidP="00083F35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9843B1">
        <w:rPr>
          <w:rFonts w:asciiTheme="minorHAnsi" w:hAnsiTheme="minorHAnsi" w:cs="Arial"/>
          <w:sz w:val="22"/>
          <w:szCs w:val="22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9843B1">
        <w:rPr>
          <w:rFonts w:asciiTheme="minorHAnsi" w:hAnsiTheme="minorHAnsi" w:cs="Arial"/>
          <w:sz w:val="22"/>
          <w:szCs w:val="22"/>
          <w:u w:val="single"/>
        </w:rPr>
        <w:t>cumpliendo obligatoriamente</w:t>
      </w:r>
      <w:r w:rsidRPr="009843B1">
        <w:rPr>
          <w:rFonts w:asciiTheme="minorHAnsi" w:hAnsiTheme="minorHAnsi" w:cs="Arial"/>
          <w:sz w:val="22"/>
          <w:szCs w:val="22"/>
        </w:rPr>
        <w:t xml:space="preserve"> con las siguientes condiciones:</w:t>
      </w:r>
    </w:p>
    <w:tbl>
      <w:tblPr>
        <w:tblW w:w="96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060"/>
      </w:tblGrid>
      <w:tr w:rsidR="00083F35" w:rsidRPr="009843B1" w:rsidTr="00EB392C">
        <w:trPr>
          <w:trHeight w:val="257"/>
          <w:jc w:val="center"/>
        </w:trPr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7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INSTRUCCIÓN</w:t>
            </w:r>
          </w:p>
        </w:tc>
      </w:tr>
      <w:tr w:rsidR="00083F35" w:rsidRPr="009843B1" w:rsidTr="00EB392C">
        <w:trPr>
          <w:trHeight w:val="805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INSTRUMENTO DE GARANTIA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Se aceptará 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únicamente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los instrumentos detallados en el anexo o acápite de Garantias Financieras.</w:t>
            </w:r>
          </w:p>
          <w:p w:rsidR="00083F35" w:rsidRPr="009843B1" w:rsidRDefault="00083F35" w:rsidP="00EB392C">
            <w:pPr>
              <w:spacing w:before="60" w:after="60"/>
              <w:jc w:val="both"/>
              <w:rPr>
                <w:rStyle w:val="nfasis"/>
                <w:rFonts w:asciiTheme="minorHAnsi" w:hAnsiTheme="minorHAnsi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En caso de 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Póliza de caución a Primer requerimiento para Entidades Públicas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, se deberá remitir todos los anexos vinculados.</w:t>
            </w:r>
          </w:p>
        </w:tc>
      </w:tr>
      <w:tr w:rsidR="00083F35" w:rsidRPr="009843B1" w:rsidTr="00EB392C">
        <w:trPr>
          <w:trHeight w:val="1618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OBJETO DE LA GARANTÍA</w:t>
            </w:r>
          </w:p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i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(“Para Garantizar:”)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Debe consignar correctamente y de manera explícita, 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textual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y 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completa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</w:p>
          <w:p w:rsidR="00083F35" w:rsidRPr="009843B1" w:rsidRDefault="00083F35" w:rsidP="00EB392C">
            <w:pPr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>Objeto a garantizar (“Garantía según el objeto”)</w:t>
            </w:r>
            <w:r w:rsidRPr="009843B1">
              <w:rPr>
                <w:rStyle w:val="Refdenotaalpie"/>
                <w:rFonts w:asciiTheme="minorHAnsi" w:hAnsiTheme="minorHAnsi" w:cs="Arial"/>
                <w:b/>
                <w:sz w:val="18"/>
                <w:szCs w:val="18"/>
              </w:rPr>
              <w:footnoteReference w:id="1"/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conforme lo requerido en el anexo o acápite de Garantías Financieras. </w:t>
            </w:r>
          </w:p>
          <w:p w:rsidR="00083F35" w:rsidRPr="009843B1" w:rsidRDefault="00083F35" w:rsidP="00EB392C">
            <w:pPr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 xml:space="preserve">Nombre (Objeto de la Contratación) y/o código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del proceso de contratación, conforme al registrado en la página web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:rsidR="00083F35" w:rsidRPr="009843B1" w:rsidRDefault="00083F35" w:rsidP="00EB392C">
            <w:pPr>
              <w:spacing w:before="60" w:after="60"/>
              <w:ind w:left="360"/>
              <w:jc w:val="both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i/>
                <w:sz w:val="18"/>
                <w:szCs w:val="18"/>
              </w:rPr>
              <w:t>http://contrataciones.ypfb.gob.bo/contrataciones/publicacion</w:t>
            </w:r>
          </w:p>
        </w:tc>
      </w:tr>
      <w:tr w:rsidR="00083F35" w:rsidRPr="009843B1" w:rsidTr="00EB392C">
        <w:trPr>
          <w:trHeight w:val="1752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NOMBRE, RAZÓN SOCIAL O DENOMINACIÓN DEL ORDENANTE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Debe consignar el nombre y tipo societario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conforme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se encuentre inscrito en el Registro (informático o documental) FUNDEMPRESA -o equivalente en el país de origen-. </w:t>
            </w:r>
          </w:p>
          <w:p w:rsidR="00083F35" w:rsidRPr="009843B1" w:rsidRDefault="00083F35" w:rsidP="00EB392C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Para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Asociaciones Accidentales,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podrá figurar el nombre de la Asociación Accidental o de una de las empresas que conforman la misma, concordante con su respectivo Registro FUNDEMPRESA.</w:t>
            </w:r>
          </w:p>
          <w:p w:rsidR="00083F35" w:rsidRPr="009843B1" w:rsidRDefault="00083F35" w:rsidP="00EB392C">
            <w:pPr>
              <w:spacing w:before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Para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Empresas Unipersonales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, alternativamente podrá figurar el nombre del Contribuyente (NIT).</w:t>
            </w:r>
          </w:p>
        </w:tc>
      </w:tr>
      <w:tr w:rsidR="00083F35" w:rsidRPr="009843B1" w:rsidTr="00EB392C">
        <w:trPr>
          <w:trHeight w:val="252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NOMBRE DEL BENEFICIARIO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Debe consignar:</w:t>
            </w:r>
          </w:p>
          <w:p w:rsidR="00083F35" w:rsidRPr="009843B1" w:rsidRDefault="00083F35" w:rsidP="00EB392C">
            <w:pPr>
              <w:pStyle w:val="Prrafodelista"/>
              <w:numPr>
                <w:ilvl w:val="0"/>
                <w:numId w:val="32"/>
              </w:numPr>
              <w:spacing w:line="276" w:lineRule="auto"/>
              <w:ind w:left="357" w:hanging="357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YACIMIENTOS PETROLIFEROS FISCALES BOLIVIANOS; </w:t>
            </w:r>
            <w:r w:rsidRPr="009843B1">
              <w:rPr>
                <w:rFonts w:asciiTheme="minorHAnsi" w:hAnsiTheme="minorHAnsi"/>
                <w:i/>
                <w:sz w:val="18"/>
                <w:szCs w:val="18"/>
              </w:rPr>
              <w:t>YPFB; o ambos.</w:t>
            </w:r>
          </w:p>
        </w:tc>
      </w:tr>
      <w:tr w:rsidR="00083F35" w:rsidRPr="009843B1" w:rsidTr="00EB392C">
        <w:trPr>
          <w:trHeight w:val="1083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MONTO GARANTIZADO Y MONEDA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Debe consignar el valor/importe/monto correctamente calculado conforme el anexo o acápite de Garantías Financieras, la “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Garantía según el objeto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” y la moneda del proceso de contratación requerido en el DBC o DCD.</w:t>
            </w:r>
          </w:p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Para adjudicación por ITEMS, LOTES, TRAMOS, PAQUETES, VOLÚMENES O ETAPAS, el “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monto máximo de la contratación”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corresponderá al registrado en el acápite “P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recio Referencial”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del DBC o DCD.</w:t>
            </w:r>
          </w:p>
        </w:tc>
      </w:tr>
      <w:tr w:rsidR="00083F35" w:rsidRPr="009843B1" w:rsidTr="00EB392C">
        <w:trPr>
          <w:trHeight w:val="131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Debe consignar una vigencia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igual o mayor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a la requerida en el Anexo o acápite de Garantías Financieras, </w:t>
            </w:r>
          </w:p>
          <w:p w:rsidR="00083F35" w:rsidRPr="009843B1" w:rsidRDefault="00083F35" w:rsidP="00EB392C">
            <w:pPr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Para la Garantía de Seriedad de Propuesta: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mínimamente 150 días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calendarios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computables a partir de la “</w:t>
            </w:r>
            <w:r w:rsidRPr="009843B1">
              <w:rPr>
                <w:rFonts w:asciiTheme="minorHAnsi" w:hAnsiTheme="minorHAnsi" w:cs="Arial"/>
                <w:i/>
                <w:sz w:val="18"/>
                <w:szCs w:val="18"/>
              </w:rPr>
              <w:t>Fecha de presentación de propuestas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”, establecida en el Cronograma de Plazos del DBC. </w:t>
            </w:r>
          </w:p>
          <w:p w:rsidR="00083F35" w:rsidRPr="009843B1" w:rsidRDefault="00083F35" w:rsidP="00EB392C">
            <w:pPr>
              <w:pStyle w:val="Prrafodelista"/>
              <w:numPr>
                <w:ilvl w:val="0"/>
                <w:numId w:val="33"/>
              </w:num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b/>
                <w:sz w:val="18"/>
                <w:szCs w:val="18"/>
                <w:u w:val="single"/>
              </w:rPr>
              <w:t>Para Garantía de Cumplimiento de Contrato y otras garantías (DS 29506 y DS 181):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según lo requerido,</w:t>
            </w:r>
            <w:r w:rsidRPr="009843B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computables a partir de la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 xml:space="preserve">fecha de emisión del instrumento financiero, 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>debiendo exceder en sesenta (60) días calendario al plazo de entrega del objeto de la contratación.</w:t>
            </w:r>
          </w:p>
          <w:p w:rsidR="00083F35" w:rsidRPr="009843B1" w:rsidRDefault="00083F35" w:rsidP="00EB392C">
            <w:pPr>
              <w:pStyle w:val="Prrafodelista"/>
              <w:spacing w:before="60" w:after="60"/>
              <w:ind w:left="3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Vigencia de la Gtia. = fecha de emisión + Plazo de entrega + 60 días</w:t>
            </w:r>
          </w:p>
        </w:tc>
      </w:tr>
      <w:tr w:rsidR="00083F35" w:rsidRPr="009843B1" w:rsidTr="00EB392C">
        <w:trPr>
          <w:trHeight w:val="131"/>
          <w:jc w:val="center"/>
        </w:trPr>
        <w:tc>
          <w:tcPr>
            <w:tcW w:w="2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F35" w:rsidRPr="009843B1" w:rsidRDefault="00083F35" w:rsidP="00EB392C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9843B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CLÁUSULAS O CONDICIONES 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3F35" w:rsidRPr="009843B1" w:rsidRDefault="00083F35" w:rsidP="00EB392C">
            <w:pPr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>Debe incluir las cláusulas de:</w:t>
            </w:r>
          </w:p>
          <w:p w:rsidR="00083F35" w:rsidRPr="009843B1" w:rsidRDefault="00083F35" w:rsidP="00EB392C">
            <w:pPr>
              <w:pStyle w:val="Prrafodelista"/>
              <w:numPr>
                <w:ilvl w:val="0"/>
                <w:numId w:val="34"/>
              </w:numPr>
              <w:spacing w:before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Renovable, irrevocable y de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ejecución inmediata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o </w:t>
            </w:r>
            <w:r w:rsidRPr="009843B1">
              <w:rPr>
                <w:rFonts w:asciiTheme="minorHAnsi" w:hAnsiTheme="minorHAnsi" w:cs="Arial"/>
                <w:sz w:val="18"/>
                <w:szCs w:val="18"/>
                <w:u w:val="single"/>
              </w:rPr>
              <w:t>ejecución a primer requerimiento</w:t>
            </w:r>
            <w:r w:rsidRPr="009843B1">
              <w:rPr>
                <w:rFonts w:asciiTheme="minorHAnsi" w:hAnsiTheme="minorHAnsi" w:cs="Arial"/>
                <w:sz w:val="18"/>
                <w:szCs w:val="18"/>
              </w:rPr>
              <w:t xml:space="preserve"> según corresponda al Instrumento Financiero requerido. </w:t>
            </w:r>
          </w:p>
        </w:tc>
      </w:tr>
    </w:tbl>
    <w:p w:rsidR="00083F35" w:rsidRPr="008B5AEE" w:rsidRDefault="00083F35" w:rsidP="00083F35">
      <w:pPr>
        <w:widowControl w:val="0"/>
        <w:jc w:val="both"/>
        <w:rPr>
          <w:rFonts w:ascii="Calibri" w:hAnsi="Calibri"/>
          <w:iCs/>
          <w:color w:val="000000"/>
          <w:sz w:val="22"/>
          <w:szCs w:val="22"/>
        </w:rPr>
      </w:pPr>
      <w:r w:rsidRPr="009843B1">
        <w:rPr>
          <w:rFonts w:asciiTheme="minorHAnsi" w:hAnsiTheme="minorHAnsi"/>
          <w:b/>
          <w:sz w:val="16"/>
          <w:szCs w:val="16"/>
        </w:rPr>
        <w:t xml:space="preserve">NOTA: EL INCUMPLIMIENTO DE LOS PARAMETROS ESTABLECIDOS PRECEDENTEMENTE, POR PARTE DEL PROPONENTE O ADJUDICADO, </w:t>
      </w:r>
      <w:r w:rsidRPr="009843B1">
        <w:rPr>
          <w:rFonts w:asciiTheme="minorHAnsi" w:hAnsiTheme="minorHAnsi"/>
          <w:b/>
          <w:sz w:val="16"/>
          <w:szCs w:val="16"/>
          <w:u w:val="single"/>
        </w:rPr>
        <w:t>NO DARÁ LUGAR A SUBSANACION ALGUNA.</w:t>
      </w:r>
    </w:p>
    <w:sectPr w:rsidR="00083F35" w:rsidRPr="008B5AEE" w:rsidSect="008B5AEE">
      <w:pgSz w:w="12242" w:h="15842" w:code="1"/>
      <w:pgMar w:top="1417" w:right="902" w:bottom="1417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D0" w:rsidRDefault="00C60FD0" w:rsidP="00C60FD0">
      <w:r>
        <w:separator/>
      </w:r>
    </w:p>
  </w:endnote>
  <w:endnote w:type="continuationSeparator" w:id="0">
    <w:p w:rsidR="00C60FD0" w:rsidRDefault="00C60FD0" w:rsidP="00C6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D0" w:rsidRDefault="00C60FD0" w:rsidP="00C60FD0">
      <w:r>
        <w:separator/>
      </w:r>
    </w:p>
  </w:footnote>
  <w:footnote w:type="continuationSeparator" w:id="0">
    <w:p w:rsidR="00C60FD0" w:rsidRDefault="00C60FD0" w:rsidP="00C60FD0">
      <w:r>
        <w:continuationSeparator/>
      </w:r>
    </w:p>
  </w:footnote>
  <w:footnote w:id="1">
    <w:p w:rsidR="00083F35" w:rsidRDefault="00083F35" w:rsidP="00083F35">
      <w:pPr>
        <w:pStyle w:val="Textonotapie"/>
        <w:jc w:val="both"/>
      </w:pPr>
      <w:r>
        <w:rPr>
          <w:rStyle w:val="Refdenotaalpie"/>
        </w:rPr>
        <w:footnoteRef/>
      </w:r>
      <w:r>
        <w:t xml:space="preserve"> “</w:t>
      </w:r>
      <w:r w:rsidRPr="00C70501">
        <w:rPr>
          <w:rFonts w:ascii="Verdana" w:hAnsi="Verdana" w:cs="Verdana"/>
          <w:bCs/>
          <w:sz w:val="19"/>
          <w:szCs w:val="19"/>
        </w:rPr>
        <w:t xml:space="preserve">Seriedad de Propuesta”;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Cumplimiento de Contrato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Adicional a la Garantía de Cumplimiento de Contrato de Obras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Funcionamiento de Maquinaria y/o Equipo</w:t>
      </w:r>
      <w:r>
        <w:rPr>
          <w:rFonts w:ascii="Verdana" w:hAnsi="Verdana" w:cs="Verdana"/>
          <w:bCs/>
          <w:sz w:val="19"/>
          <w:szCs w:val="19"/>
        </w:rPr>
        <w:t>”</w:t>
      </w:r>
      <w:r w:rsidRPr="00C70501">
        <w:rPr>
          <w:rFonts w:ascii="Verdana" w:hAnsi="Verdana" w:cs="Verdana"/>
          <w:bCs/>
          <w:sz w:val="19"/>
          <w:szCs w:val="19"/>
        </w:rPr>
        <w:t xml:space="preserve">; </w:t>
      </w:r>
      <w:r>
        <w:rPr>
          <w:rFonts w:ascii="Verdana" w:hAnsi="Verdana" w:cs="Verdana"/>
          <w:bCs/>
          <w:sz w:val="19"/>
          <w:szCs w:val="19"/>
        </w:rPr>
        <w:t>“</w:t>
      </w:r>
      <w:r w:rsidRPr="00C70501">
        <w:rPr>
          <w:rFonts w:ascii="Verdana" w:hAnsi="Verdana" w:cs="Verdana"/>
          <w:bCs/>
          <w:sz w:val="19"/>
          <w:szCs w:val="19"/>
        </w:rPr>
        <w:t>Correcta Inversión de Anticipo</w:t>
      </w:r>
      <w:r>
        <w:rPr>
          <w:rFonts w:ascii="Verdana" w:hAnsi="Verdana" w:cs="Verdana"/>
          <w:bCs/>
          <w:sz w:val="19"/>
          <w:szCs w:val="19"/>
        </w:rPr>
        <w:t>” u otras.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683"/>
    <w:multiLevelType w:val="hybridMultilevel"/>
    <w:tmpl w:val="66E24BE8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24BEF"/>
    <w:multiLevelType w:val="hybridMultilevel"/>
    <w:tmpl w:val="BF442C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1636"/>
    <w:multiLevelType w:val="hybridMultilevel"/>
    <w:tmpl w:val="881E7922"/>
    <w:lvl w:ilvl="0" w:tplc="889080B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5E16F5"/>
    <w:multiLevelType w:val="multilevel"/>
    <w:tmpl w:val="27C063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25305F5E"/>
    <w:multiLevelType w:val="multilevel"/>
    <w:tmpl w:val="AEE077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A7B2B"/>
    <w:multiLevelType w:val="hybridMultilevel"/>
    <w:tmpl w:val="CFB298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7F5A"/>
    <w:multiLevelType w:val="hybridMultilevel"/>
    <w:tmpl w:val="52B6884A"/>
    <w:lvl w:ilvl="0" w:tplc="23CC929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A5FFD"/>
    <w:multiLevelType w:val="hybridMultilevel"/>
    <w:tmpl w:val="D2C8BB0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E052F"/>
    <w:multiLevelType w:val="hybridMultilevel"/>
    <w:tmpl w:val="03C88A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9445B"/>
    <w:multiLevelType w:val="hybridMultilevel"/>
    <w:tmpl w:val="2472A74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E6164"/>
    <w:multiLevelType w:val="hybridMultilevel"/>
    <w:tmpl w:val="1BC252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0C2FB1"/>
    <w:multiLevelType w:val="hybridMultilevel"/>
    <w:tmpl w:val="475E5776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C06B9"/>
    <w:multiLevelType w:val="hybridMultilevel"/>
    <w:tmpl w:val="C9E8754A"/>
    <w:lvl w:ilvl="0" w:tplc="400A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7" w15:restartNumberingAfterBreak="0">
    <w:nsid w:val="57953512"/>
    <w:multiLevelType w:val="hybridMultilevel"/>
    <w:tmpl w:val="5A805458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D06687F"/>
    <w:multiLevelType w:val="hybridMultilevel"/>
    <w:tmpl w:val="2E1C74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17BF8"/>
    <w:multiLevelType w:val="multilevel"/>
    <w:tmpl w:val="3FA407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53FF9"/>
    <w:multiLevelType w:val="hybridMultilevel"/>
    <w:tmpl w:val="91423C36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2D6E6B"/>
    <w:multiLevelType w:val="hybridMultilevel"/>
    <w:tmpl w:val="85521C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6315D"/>
    <w:multiLevelType w:val="hybridMultilevel"/>
    <w:tmpl w:val="6BE0D690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8474A"/>
    <w:multiLevelType w:val="hybridMultilevel"/>
    <w:tmpl w:val="970A08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51D03"/>
    <w:multiLevelType w:val="hybridMultilevel"/>
    <w:tmpl w:val="5B50686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7597756E"/>
    <w:multiLevelType w:val="hybridMultilevel"/>
    <w:tmpl w:val="E86AC7A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3E5075"/>
    <w:multiLevelType w:val="hybridMultilevel"/>
    <w:tmpl w:val="B856402E"/>
    <w:lvl w:ilvl="0" w:tplc="40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EC65001"/>
    <w:multiLevelType w:val="hybridMultilevel"/>
    <w:tmpl w:val="A15CDFC6"/>
    <w:lvl w:ilvl="0" w:tplc="A29252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7"/>
  </w:num>
  <w:num w:numId="4">
    <w:abstractNumId w:val="21"/>
  </w:num>
  <w:num w:numId="5">
    <w:abstractNumId w:val="18"/>
  </w:num>
  <w:num w:numId="6">
    <w:abstractNumId w:val="29"/>
  </w:num>
  <w:num w:numId="7">
    <w:abstractNumId w:val="8"/>
  </w:num>
  <w:num w:numId="8">
    <w:abstractNumId w:val="31"/>
  </w:num>
  <w:num w:numId="9">
    <w:abstractNumId w:val="11"/>
  </w:num>
  <w:num w:numId="10">
    <w:abstractNumId w:val="27"/>
  </w:num>
  <w:num w:numId="11">
    <w:abstractNumId w:val="24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26"/>
  </w:num>
  <w:num w:numId="18">
    <w:abstractNumId w:val="7"/>
  </w:num>
  <w:num w:numId="19">
    <w:abstractNumId w:val="15"/>
  </w:num>
  <w:num w:numId="20">
    <w:abstractNumId w:val="12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6"/>
  </w:num>
  <w:num w:numId="24">
    <w:abstractNumId w:val="28"/>
  </w:num>
  <w:num w:numId="25">
    <w:abstractNumId w:val="30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3"/>
  </w:num>
  <w:num w:numId="32">
    <w:abstractNumId w:val="22"/>
  </w:num>
  <w:num w:numId="33">
    <w:abstractNumId w:val="1"/>
  </w:num>
  <w:num w:numId="34">
    <w:abstractNumId w:val="9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60"/>
    <w:rsid w:val="000142C2"/>
    <w:rsid w:val="0005377A"/>
    <w:rsid w:val="00083F35"/>
    <w:rsid w:val="000B4219"/>
    <w:rsid w:val="000D1057"/>
    <w:rsid w:val="00122380"/>
    <w:rsid w:val="00174481"/>
    <w:rsid w:val="001C20C4"/>
    <w:rsid w:val="001C60B6"/>
    <w:rsid w:val="001E26A7"/>
    <w:rsid w:val="00221B9C"/>
    <w:rsid w:val="002262EA"/>
    <w:rsid w:val="0022695C"/>
    <w:rsid w:val="002C2F4D"/>
    <w:rsid w:val="002D0AF2"/>
    <w:rsid w:val="002F126B"/>
    <w:rsid w:val="003102D7"/>
    <w:rsid w:val="00316A20"/>
    <w:rsid w:val="00347B33"/>
    <w:rsid w:val="00355658"/>
    <w:rsid w:val="0037070A"/>
    <w:rsid w:val="003B4997"/>
    <w:rsid w:val="003E6E52"/>
    <w:rsid w:val="004137F8"/>
    <w:rsid w:val="00414904"/>
    <w:rsid w:val="004348E0"/>
    <w:rsid w:val="004369C6"/>
    <w:rsid w:val="00493DA3"/>
    <w:rsid w:val="004967F7"/>
    <w:rsid w:val="004B3D78"/>
    <w:rsid w:val="004D4C00"/>
    <w:rsid w:val="00520D38"/>
    <w:rsid w:val="00542A4F"/>
    <w:rsid w:val="00571598"/>
    <w:rsid w:val="005750B8"/>
    <w:rsid w:val="00576301"/>
    <w:rsid w:val="005818B2"/>
    <w:rsid w:val="005E5300"/>
    <w:rsid w:val="00653D86"/>
    <w:rsid w:val="006636DD"/>
    <w:rsid w:val="00664352"/>
    <w:rsid w:val="00666AF3"/>
    <w:rsid w:val="00667AEA"/>
    <w:rsid w:val="0068241A"/>
    <w:rsid w:val="006970FD"/>
    <w:rsid w:val="006D7958"/>
    <w:rsid w:val="007232DA"/>
    <w:rsid w:val="00796DFD"/>
    <w:rsid w:val="008004EB"/>
    <w:rsid w:val="00882844"/>
    <w:rsid w:val="008953ED"/>
    <w:rsid w:val="008B5AEE"/>
    <w:rsid w:val="008E46C5"/>
    <w:rsid w:val="0093748A"/>
    <w:rsid w:val="009624DE"/>
    <w:rsid w:val="009843B1"/>
    <w:rsid w:val="00997E18"/>
    <w:rsid w:val="009C4BC9"/>
    <w:rsid w:val="009C5389"/>
    <w:rsid w:val="009F64CD"/>
    <w:rsid w:val="00A27179"/>
    <w:rsid w:val="00A56B94"/>
    <w:rsid w:val="00A63B2D"/>
    <w:rsid w:val="00A827C2"/>
    <w:rsid w:val="00AB112A"/>
    <w:rsid w:val="00AD2345"/>
    <w:rsid w:val="00AF718D"/>
    <w:rsid w:val="00B1676D"/>
    <w:rsid w:val="00B25840"/>
    <w:rsid w:val="00B34A60"/>
    <w:rsid w:val="00B50130"/>
    <w:rsid w:val="00C1586B"/>
    <w:rsid w:val="00C36795"/>
    <w:rsid w:val="00C438FB"/>
    <w:rsid w:val="00C47E1F"/>
    <w:rsid w:val="00C60FD0"/>
    <w:rsid w:val="00C73004"/>
    <w:rsid w:val="00CD2190"/>
    <w:rsid w:val="00CE7CDA"/>
    <w:rsid w:val="00D06F2A"/>
    <w:rsid w:val="00D202E8"/>
    <w:rsid w:val="00DC42F2"/>
    <w:rsid w:val="00DD0DF7"/>
    <w:rsid w:val="00DE67D9"/>
    <w:rsid w:val="00E15A70"/>
    <w:rsid w:val="00F004ED"/>
    <w:rsid w:val="00F442DC"/>
    <w:rsid w:val="00F514F3"/>
    <w:rsid w:val="00F601EF"/>
    <w:rsid w:val="00F93F42"/>
    <w:rsid w:val="00FA3A3E"/>
    <w:rsid w:val="00F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8AF80"/>
  <w15:chartTrackingRefBased/>
  <w15:docId w15:val="{237D1F44-02C3-4464-AD7E-A21A49F6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96D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,PARRAFO"/>
    <w:basedOn w:val="Normal"/>
    <w:link w:val="PrrafodelistaCar"/>
    <w:uiPriority w:val="34"/>
    <w:qFormat/>
    <w:rsid w:val="00B34A60"/>
    <w:pPr>
      <w:ind w:left="708"/>
    </w:pPr>
  </w:style>
  <w:style w:type="character" w:customStyle="1" w:styleId="PrrafodelistaCar">
    <w:name w:val="Párrafo de lista Car"/>
    <w:aliases w:val="본문1 Car,titulo 5 Car,PARRAFO Car"/>
    <w:link w:val="Prrafodelista"/>
    <w:uiPriority w:val="34"/>
    <w:rsid w:val="00B34A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5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60B6"/>
    <w:rPr>
      <w:rFonts w:eastAsiaTheme="minorHAnsi"/>
      <w:lang w:val="es-BO" w:eastAsia="es-BO"/>
    </w:rPr>
  </w:style>
  <w:style w:type="character" w:styleId="nfasis">
    <w:name w:val="Emphasis"/>
    <w:basedOn w:val="Fuentedeprrafopredeter"/>
    <w:uiPriority w:val="20"/>
    <w:qFormat/>
    <w:rsid w:val="001C60B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5A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A7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rsid w:val="00796D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rsid w:val="00796DFD"/>
    <w:pPr>
      <w:spacing w:after="120"/>
    </w:p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796DF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6DF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ApendiceA">
    <w:name w:val="Apendice A"/>
    <w:basedOn w:val="Normal"/>
    <w:link w:val="ApendiceACar"/>
    <w:rsid w:val="00796DFD"/>
    <w:pPr>
      <w:numPr>
        <w:numId w:val="20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796DFD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796DF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796DFD"/>
    <w:rPr>
      <w:rFonts w:ascii="Arial" w:eastAsia="Times New Roman" w:hAnsi="Arial" w:cs="Times New Roman"/>
      <w:lang w:val="es-ES" w:eastAsia="es-ES"/>
    </w:rPr>
  </w:style>
  <w:style w:type="character" w:customStyle="1" w:styleId="DefaultCar">
    <w:name w:val="Default Car"/>
    <w:basedOn w:val="Fuentedeprrafopredeter"/>
    <w:link w:val="Default"/>
    <w:locked/>
    <w:rsid w:val="00542A4F"/>
    <w:rPr>
      <w:rFonts w:ascii="Calibri" w:hAnsi="Calibri"/>
      <w:color w:val="000000"/>
    </w:rPr>
  </w:style>
  <w:style w:type="paragraph" w:customStyle="1" w:styleId="Default">
    <w:name w:val="Default"/>
    <w:basedOn w:val="Normal"/>
    <w:link w:val="DefaultCar"/>
    <w:rsid w:val="00542A4F"/>
    <w:pPr>
      <w:autoSpaceDE w:val="0"/>
      <w:autoSpaceDN w:val="0"/>
    </w:pPr>
    <w:rPr>
      <w:rFonts w:ascii="Calibri" w:eastAsiaTheme="minorHAnsi" w:hAnsi="Calibri" w:cstheme="minorBidi"/>
      <w:color w:val="000000"/>
      <w:sz w:val="22"/>
      <w:szCs w:val="22"/>
      <w:lang w:val="es-B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0FD0"/>
    <w:rPr>
      <w:rFonts w:ascii="Calibri" w:eastAsiaTheme="minorHAns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0FD0"/>
    <w:rPr>
      <w:rFonts w:ascii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0F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E61F9-D21C-4FE1-B9F0-25809E9D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2714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Rider Rene Calderon Llanos</dc:creator>
  <cp:keywords/>
  <dc:description/>
  <cp:lastModifiedBy>Federico Elvis Panozo Marca</cp:lastModifiedBy>
  <cp:revision>2</cp:revision>
  <cp:lastPrinted>2019-03-25T12:59:00Z</cp:lastPrinted>
  <dcterms:created xsi:type="dcterms:W3CDTF">2019-09-12T00:59:00Z</dcterms:created>
  <dcterms:modified xsi:type="dcterms:W3CDTF">2019-09-12T00:59:00Z</dcterms:modified>
</cp:coreProperties>
</file>