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E90234">
        <w:rPr>
          <w:rFonts w:ascii="Bookman Old Style" w:hAnsi="Bookman Old Style"/>
          <w:b/>
          <w:color w:val="A6A6A6" w:themeColor="background1" w:themeShade="A6"/>
        </w:rPr>
        <w:t>5</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C034C1" w:rsidRDefault="00C034C1" w:rsidP="0096382E"/>
    <w:tbl>
      <w:tblPr>
        <w:tblW w:w="10636" w:type="dxa"/>
        <w:tblInd w:w="27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5D5AEF">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5C8C535" wp14:editId="324277E4">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bookmarkStart w:id="0" w:name="_GoBack"/>
        <w:bookmarkEnd w:id="0"/>
      </w:tr>
      <w:tr w:rsidR="0096382E" w:rsidRPr="00063B7B" w:rsidTr="005D5AEF">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5D5AEF">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5D5AEF">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5D5AEF">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D5AEF">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D5AEF">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D5AEF">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5D5AEF">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5D5AEF">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5D5AEF">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5D5AEF">
                  <w:pPr>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5D5AEF">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5D5AEF" w:rsidRPr="005D5AEF" w:rsidRDefault="005D5AEF" w:rsidP="005D5AEF">
            <w:pPr>
              <w:spacing w:before="100" w:beforeAutospacing="1" w:after="100" w:afterAutospacing="1" w:line="240" w:lineRule="auto"/>
              <w:ind w:left="360"/>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57" w:rsidRDefault="005B5657" w:rsidP="004E1A67">
      <w:pPr>
        <w:spacing w:after="0" w:line="240" w:lineRule="auto"/>
      </w:pPr>
      <w:r>
        <w:separator/>
      </w:r>
    </w:p>
  </w:endnote>
  <w:endnote w:type="continuationSeparator" w:id="0">
    <w:p w:rsidR="005B5657" w:rsidRDefault="005B5657"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4C1" w:rsidRDefault="00C034C1">
    <w:pPr>
      <w:pStyle w:val="Piedepgina"/>
      <w:jc w:val="right"/>
    </w:pPr>
  </w:p>
  <w:p w:rsidR="00C034C1" w:rsidRDefault="00C034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57" w:rsidRDefault="005B5657" w:rsidP="004E1A67">
      <w:pPr>
        <w:spacing w:after="0" w:line="240" w:lineRule="auto"/>
      </w:pPr>
      <w:r>
        <w:separator/>
      </w:r>
    </w:p>
  </w:footnote>
  <w:footnote w:type="continuationSeparator" w:id="0">
    <w:p w:rsidR="005B5657" w:rsidRDefault="005B5657" w:rsidP="004E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910" w:type="dxa"/>
      <w:tblLook w:val="04A0" w:firstRow="1" w:lastRow="0" w:firstColumn="1" w:lastColumn="0" w:noHBand="0" w:noVBand="1"/>
    </w:tblPr>
    <w:tblGrid>
      <w:gridCol w:w="1980"/>
      <w:gridCol w:w="7513"/>
      <w:gridCol w:w="1417"/>
    </w:tblGrid>
    <w:tr w:rsidR="00C034C1" w:rsidTr="000D3660">
      <w:trPr>
        <w:trHeight w:val="405"/>
      </w:trPr>
      <w:tc>
        <w:tcPr>
          <w:tcW w:w="1980" w:type="dxa"/>
          <w:vMerge w:val="restart"/>
          <w:vAlign w:val="center"/>
        </w:tcPr>
        <w:p w:rsidR="00C034C1" w:rsidRDefault="00C034C1" w:rsidP="000D3660">
          <w:pPr>
            <w:pStyle w:val="Encabezado"/>
            <w:jc w:val="center"/>
          </w:pPr>
          <w:r>
            <w:rPr>
              <w:noProof/>
              <w:lang w:val="es-ES" w:eastAsia="es-ES"/>
            </w:rPr>
            <w:drawing>
              <wp:inline distT="0" distB="0" distL="0" distR="0" wp14:anchorId="58ED0A4D" wp14:editId="18B11B18">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C034C1" w:rsidRPr="000D3660" w:rsidRDefault="00C034C1"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C034C1" w:rsidRPr="00160983" w:rsidRDefault="00C034C1" w:rsidP="00160983">
          <w:pPr>
            <w:pStyle w:val="Encabezado"/>
            <w:jc w:val="center"/>
            <w:rPr>
              <w:rFonts w:ascii="Bookman Old Style" w:hAnsi="Bookman Old Style"/>
              <w:b/>
              <w:sz w:val="18"/>
            </w:rPr>
          </w:pPr>
          <w:r w:rsidRPr="00160983">
            <w:rPr>
              <w:rFonts w:ascii="Bookman Old Style" w:hAnsi="Bookman Old Style"/>
              <w:b/>
            </w:rPr>
            <w:t xml:space="preserve">ANEXO </w:t>
          </w:r>
          <w:r>
            <w:rPr>
              <w:rFonts w:ascii="Bookman Old Style" w:hAnsi="Bookman Old Style"/>
              <w:b/>
            </w:rPr>
            <w:t>5</w:t>
          </w:r>
        </w:p>
      </w:tc>
    </w:tr>
    <w:tr w:rsidR="00C034C1" w:rsidTr="000D3660">
      <w:trPr>
        <w:trHeight w:val="510"/>
      </w:trPr>
      <w:tc>
        <w:tcPr>
          <w:tcW w:w="1980" w:type="dxa"/>
          <w:vMerge/>
          <w:vAlign w:val="center"/>
        </w:tcPr>
        <w:p w:rsidR="00C034C1" w:rsidRDefault="00C034C1" w:rsidP="000D3660">
          <w:pPr>
            <w:pStyle w:val="Encabezado"/>
            <w:jc w:val="center"/>
            <w:rPr>
              <w:noProof/>
              <w:lang w:eastAsia="es-BO"/>
            </w:rPr>
          </w:pPr>
        </w:p>
      </w:tc>
      <w:tc>
        <w:tcPr>
          <w:tcW w:w="7513" w:type="dxa"/>
          <w:vMerge/>
          <w:vAlign w:val="center"/>
        </w:tcPr>
        <w:p w:rsidR="00C034C1" w:rsidRPr="000D3660" w:rsidRDefault="00C034C1"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Content>
            <w:p w:rsidR="00C034C1" w:rsidRPr="000D3660" w:rsidRDefault="00C034C1"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D5AEF">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D5AEF">
                <w:rPr>
                  <w:rFonts w:ascii="Bookman Old Style" w:hAnsi="Bookman Old Style"/>
                  <w:noProof/>
                  <w:sz w:val="18"/>
                </w:rPr>
                <w:t>4</w:t>
              </w:r>
              <w:r w:rsidRPr="000D3660">
                <w:rPr>
                  <w:rFonts w:ascii="Bookman Old Style" w:hAnsi="Bookman Old Style"/>
                  <w:sz w:val="18"/>
                </w:rPr>
                <w:fldChar w:fldCharType="end"/>
              </w:r>
            </w:p>
          </w:sdtContent>
        </w:sdt>
      </w:tc>
    </w:tr>
  </w:tbl>
  <w:p w:rsidR="00C034C1" w:rsidRPr="000D3660" w:rsidRDefault="00C034C1" w:rsidP="000D366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910" w:type="dxa"/>
      <w:tblLook w:val="04A0" w:firstRow="1" w:lastRow="0" w:firstColumn="1" w:lastColumn="0" w:noHBand="0" w:noVBand="1"/>
    </w:tblPr>
    <w:tblGrid>
      <w:gridCol w:w="1980"/>
      <w:gridCol w:w="7229"/>
      <w:gridCol w:w="1701"/>
    </w:tblGrid>
    <w:tr w:rsidR="00C034C1" w:rsidTr="008931E8">
      <w:trPr>
        <w:trHeight w:val="405"/>
      </w:trPr>
      <w:tc>
        <w:tcPr>
          <w:tcW w:w="1980" w:type="dxa"/>
          <w:vMerge w:val="restart"/>
          <w:vAlign w:val="center"/>
        </w:tcPr>
        <w:p w:rsidR="00C034C1" w:rsidRDefault="00C034C1"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C034C1" w:rsidRPr="000D3660" w:rsidRDefault="00C034C1"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C034C1" w:rsidRPr="000D3660" w:rsidRDefault="00C034C1"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5D5AEF">
            <w:rPr>
              <w:rFonts w:ascii="Bookman Old Style" w:hAnsi="Bookman Old Style"/>
            </w:rPr>
            <w:t>5</w:t>
          </w:r>
        </w:p>
      </w:tc>
    </w:tr>
    <w:tr w:rsidR="00C034C1" w:rsidTr="008931E8">
      <w:trPr>
        <w:trHeight w:val="510"/>
      </w:trPr>
      <w:tc>
        <w:tcPr>
          <w:tcW w:w="1980" w:type="dxa"/>
          <w:vMerge/>
          <w:vAlign w:val="center"/>
        </w:tcPr>
        <w:p w:rsidR="00C034C1" w:rsidRDefault="00C034C1" w:rsidP="000D3660">
          <w:pPr>
            <w:pStyle w:val="Encabezado"/>
            <w:jc w:val="center"/>
            <w:rPr>
              <w:noProof/>
              <w:lang w:eastAsia="es-BO"/>
            </w:rPr>
          </w:pPr>
        </w:p>
      </w:tc>
      <w:tc>
        <w:tcPr>
          <w:tcW w:w="7229" w:type="dxa"/>
          <w:vAlign w:val="center"/>
        </w:tcPr>
        <w:p w:rsidR="00C034C1" w:rsidRPr="000D3660" w:rsidRDefault="00C034C1"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Content>
            <w:p w:rsidR="00C034C1" w:rsidRPr="000D3660" w:rsidRDefault="00C034C1"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D5AEF">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D5AEF">
                <w:rPr>
                  <w:rFonts w:ascii="Bookman Old Style" w:hAnsi="Bookman Old Style"/>
                  <w:noProof/>
                  <w:sz w:val="18"/>
                </w:rPr>
                <w:t>4</w:t>
              </w:r>
              <w:r w:rsidRPr="000D3660">
                <w:rPr>
                  <w:rFonts w:ascii="Bookman Old Style" w:hAnsi="Bookman Old Style"/>
                  <w:sz w:val="18"/>
                </w:rPr>
                <w:fldChar w:fldCharType="end"/>
              </w:r>
            </w:p>
          </w:sdtContent>
        </w:sdt>
      </w:tc>
    </w:tr>
  </w:tbl>
  <w:p w:rsidR="00C034C1" w:rsidRPr="000D3660" w:rsidRDefault="00C034C1" w:rsidP="000D366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529B"/>
    <w:rsid w:val="00355595"/>
    <w:rsid w:val="003B0EB8"/>
    <w:rsid w:val="00442732"/>
    <w:rsid w:val="00452AB2"/>
    <w:rsid w:val="004605A5"/>
    <w:rsid w:val="00494D5B"/>
    <w:rsid w:val="004D5685"/>
    <w:rsid w:val="004E1A67"/>
    <w:rsid w:val="005709DE"/>
    <w:rsid w:val="005B5657"/>
    <w:rsid w:val="005D5AEF"/>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034C1"/>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AC00"/>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6EBD-2E25-407A-8FF5-AF008302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1431</Words>
  <Characters>7875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Jesus Reynaldo Atahuachi Quispe</cp:lastModifiedBy>
  <cp:revision>13</cp:revision>
  <cp:lastPrinted>2016-06-10T15:18:00Z</cp:lastPrinted>
  <dcterms:created xsi:type="dcterms:W3CDTF">2016-06-10T00:46:00Z</dcterms:created>
  <dcterms:modified xsi:type="dcterms:W3CDTF">2019-08-28T14:19:00Z</dcterms:modified>
</cp:coreProperties>
</file>